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jc w:val="center"/>
      </w:pPr>
      <w:r>
        <w:rPr>
          <w:b/>
          <w:sz w:val="40"/>
        </w:rPr>
        <w:t>Identity and Access Management (IAM)</w:t>
        <w:br/>
        <w:t>Policy and Procedure</w:t>
      </w:r>
    </w:p>
    <w:p/>
    <w:p>
      <w:pPr>
        <w:jc w:val="center"/>
      </w:pPr>
      <w:r>
        <w:t>SecureCyberInsight | Document Library</w:t>
        <w:br/>
        <w:t>Version 1.0  |  Effective Date: [EFFECTIVE DATE]</w:t>
        <w:br/>
        <w:t>Document Owner: Information Security Officer</w:t>
        <w:br/>
        <w:t>Classification: Internal / Controlled</w:t>
      </w:r>
    </w:p>
    <w:p>
      <w:r>
        <w:br w:type="page"/>
      </w:r>
    </w:p>
    <w:p>
      <w:pPr>
        <w:pStyle w:val="Heading1"/>
      </w:pPr>
      <w:r>
        <w:t>1. Purpose</w:t>
      </w:r>
    </w:p>
    <w:p>
      <w:pPr>
        <w:spacing w:after="120"/>
      </w:pPr>
      <w:r>
        <w:t>This policy establishes requirements for managing identities and controlling access to information systems, applications, and data assets owned or operated by [Organization Name] (the Organization). It defines the principles, responsibilities, and controls required to ensure that access is granted on a least-privilege, need-to-know basis and that access rights are reviewed, modified, and revoked in a timely and consistent manner.</w:t>
      </w:r>
    </w:p>
    <w:p>
      <w:pPr>
        <w:pStyle w:val="Heading1"/>
      </w:pPr>
      <w:r>
        <w:t>2. Scope</w:t>
      </w:r>
    </w:p>
    <w:p>
      <w:pPr>
        <w:spacing w:after="120"/>
      </w:pPr>
      <w:r>
        <w:t>This policy applies to:</w:t>
      </w:r>
    </w:p>
    <w:p>
      <w:pPr>
        <w:spacing w:after="60"/>
        <w:ind w:left="432"/>
      </w:pPr>
      <w:r>
        <w:t>•  All employees, contractors, vendors, and third parties with access to Organization systems.</w:t>
      </w:r>
    </w:p>
    <w:p>
      <w:pPr>
        <w:spacing w:after="60"/>
        <w:ind w:left="432"/>
      </w:pPr>
      <w:r>
        <w:t>•  All information systems, applications, cloud environments, and data repositories owned, leased, or operated by the Organization.</w:t>
      </w:r>
    </w:p>
    <w:p>
      <w:pPr>
        <w:spacing w:after="60"/>
        <w:ind w:left="432"/>
      </w:pPr>
      <w:r>
        <w:t>•  All identity types including human users, service accounts, privileged accounts, and non-person entities (NPEs).</w:t>
      </w:r>
    </w:p>
    <w:p>
      <w:pPr>
        <w:pStyle w:val="Heading1"/>
      </w:pPr>
      <w:r>
        <w:t>3. Policy Statements</w:t>
      </w:r>
    </w:p>
    <w:p>
      <w:pPr>
        <w:spacing w:before="160" w:after="80"/>
      </w:pPr>
      <w:r>
        <w:rPr>
          <w:b/>
          <w:sz w:val="24"/>
        </w:rPr>
        <w:t>3.1  Least Privilege and Need-to-Know</w:t>
      </w:r>
    </w:p>
    <w:p>
      <w:pPr>
        <w:spacing w:after="120"/>
      </w:pPr>
      <w:r>
        <w:t>Access rights shall be limited to the minimum necessary for an individual to perform their assigned job functions. Standing privileged access must be justified, documented, and reviewed at least quarterly.</w:t>
      </w:r>
    </w:p>
    <w:p>
      <w:pPr>
        <w:spacing w:before="160" w:after="80"/>
      </w:pPr>
      <w:r>
        <w:rPr>
          <w:b/>
          <w:sz w:val="24"/>
        </w:rPr>
        <w:t>3.2  Separation of Duties</w:t>
      </w:r>
    </w:p>
    <w:p>
      <w:pPr>
        <w:spacing w:after="120"/>
      </w:pPr>
      <w:r>
        <w:t>No single individual shall have sufficient access to initiate, approve, and complete a high-risk transaction or administrative action. Conflicting duties shall be identified and segregated during role design and access provisioning.</w:t>
      </w:r>
    </w:p>
    <w:p>
      <w:pPr>
        <w:spacing w:before="160" w:after="80"/>
      </w:pPr>
      <w:r>
        <w:rPr>
          <w:b/>
          <w:sz w:val="24"/>
        </w:rPr>
        <w:t>3.3  Unique Identification and Authentication</w:t>
      </w:r>
    </w:p>
    <w:p>
      <w:pPr>
        <w:spacing w:after="120"/>
      </w:pPr>
      <w:r>
        <w:t>Every user and service account must be uniquely identified. Shared or generic accounts are prohibited except where operationally required, formally documented, and approved by the Information Security Officer (ISO). Multi-factor authentication (MFA) is required for:</w:t>
      </w:r>
    </w:p>
    <w:p>
      <w:pPr>
        <w:spacing w:after="60"/>
        <w:ind w:left="432"/>
      </w:pPr>
      <w:r>
        <w:t>•  All remote access (VPN, RDP, cloud consoles).</w:t>
      </w:r>
    </w:p>
    <w:p>
      <w:pPr>
        <w:spacing w:after="60"/>
        <w:ind w:left="432"/>
      </w:pPr>
      <w:r>
        <w:t>•  All privileged and administrative accounts.</w:t>
      </w:r>
    </w:p>
    <w:p>
      <w:pPr>
        <w:spacing w:after="60"/>
        <w:ind w:left="432"/>
      </w:pPr>
      <w:r>
        <w:t>•  All access to systems that process, store, or transmit sensitive or regulated data.</w:t>
      </w:r>
    </w:p>
    <w:p>
      <w:pPr>
        <w:spacing w:before="160" w:after="80"/>
      </w:pPr>
      <w:r>
        <w:rPr>
          <w:b/>
          <w:sz w:val="24"/>
        </w:rPr>
        <w:t>3.4  Privileged Access Management (PAM)</w:t>
      </w:r>
    </w:p>
    <w:p>
      <w:pPr>
        <w:spacing w:after="120"/>
      </w:pPr>
      <w:r>
        <w:t>Privileged accounts shall be managed through an approved Privileged Access Management solution or equivalent controls. Administrative credentials must not be used for day-to-day activities. All privileged session activity shall be logged and retained per the Organization's log retention standard.</w:t>
      </w:r>
    </w:p>
    <w:p>
      <w:pPr>
        <w:spacing w:before="160" w:after="80"/>
      </w:pPr>
      <w:r>
        <w:rPr>
          <w:b/>
          <w:sz w:val="24"/>
        </w:rPr>
        <w:t>3.5  Account Lifecycle Management</w:t>
      </w:r>
    </w:p>
    <w:p>
      <w:pPr>
        <w:spacing w:after="120"/>
      </w:pPr>
      <w:r>
        <w:t>Access must follow a documented lifecycle:</w:t>
      </w:r>
    </w:p>
    <w:p>
      <w:pPr>
        <w:spacing w:after="60"/>
        <w:ind w:left="432"/>
      </w:pPr>
      <w:r>
        <w:t>•  Provisioning: Access granted via formal approved request; role assignment documented.</w:t>
      </w:r>
    </w:p>
    <w:p>
      <w:pPr>
        <w:spacing w:after="60"/>
        <w:ind w:left="432"/>
      </w:pPr>
      <w:r>
        <w:t>•  Modification: Re-approval required for any role changes or scope expansion.</w:t>
      </w:r>
    </w:p>
    <w:p>
      <w:pPr>
        <w:spacing w:after="60"/>
        <w:ind w:left="432"/>
      </w:pPr>
      <w:r>
        <w:t>•  Periodic Review: Managers certify access at least annually; quarterly for privileged accounts.</w:t>
      </w:r>
    </w:p>
    <w:p>
      <w:pPr>
        <w:spacing w:after="60"/>
        <w:ind w:left="432"/>
      </w:pPr>
      <w:r>
        <w:t>•  Termination: Access revoked within one business day of separation; immediately upon involuntary termination.</w:t>
      </w:r>
    </w:p>
    <w:p>
      <w:pPr>
        <w:spacing w:before="160" w:after="80"/>
      </w:pPr>
      <w:r>
        <w:rPr>
          <w:b/>
          <w:sz w:val="24"/>
        </w:rPr>
        <w:t>3.6  Service and Non-Person Accounts</w:t>
      </w:r>
    </w:p>
    <w:p>
      <w:pPr>
        <w:spacing w:after="120"/>
      </w:pPr>
      <w:r>
        <w:t>Service accounts, API keys, and other NPE credentials must be inventoried, assigned an accountable owner, rotated on a defined schedule, and scoped to least privilege. Hard-coded credentials in code repositories or configuration files are prohibited.</w:t>
      </w:r>
    </w:p>
    <w:p>
      <w:pPr>
        <w:spacing w:before="160" w:after="80"/>
      </w:pPr>
      <w:r>
        <w:rPr>
          <w:b/>
          <w:sz w:val="24"/>
        </w:rPr>
        <w:t>3.7  Remote and Third-Party Access</w:t>
      </w:r>
    </w:p>
    <w:p>
      <w:pPr>
        <w:spacing w:after="120"/>
      </w:pPr>
      <w:r>
        <w:t>Third-party access must be authorized in writing, time-limited, and scoped to the minimum required systems. Vendor accounts must be disabled when not actively in use and reviewed at least semi-annually.</w:t>
      </w:r>
    </w:p>
    <w:p>
      <w:pPr>
        <w:pStyle w:val="Heading1"/>
      </w:pPr>
      <w:r>
        <w:t>4. Roles and Responsibilities</w:t>
      </w:r>
    </w:p>
    <w:tbl>
      <w:tblPr>
        <w:tblW w:type="auto" w:w="0"/>
        <w:tblLook w:firstColumn="1" w:firstRow="1" w:lastColumn="0" w:lastRow="0" w:noHBand="0" w:noVBand="1" w:val="04A0"/>
      </w:tblPr>
      <w:tblGrid>
        <w:gridCol w:w="4680"/>
        <w:gridCol w:w="4680"/>
      </w:tblGrid>
      <w:tr>
        <w:tc>
          <w:tcPr>
            <w:tcW w:type="dxa" w:w="4680"/>
          </w:tcPr>
          <w:p>
            <w:r>
              <w:rPr>
                <w:b/>
              </w:rPr>
              <w:t>Role</w:t>
            </w:r>
          </w:p>
        </w:tc>
        <w:tc>
          <w:tcPr>
            <w:tcW w:type="dxa" w:w="4680"/>
          </w:tcPr>
          <w:p>
            <w:r>
              <w:rPr>
                <w:b/>
              </w:rPr>
              <w:t>Responsibility</w:t>
            </w:r>
          </w:p>
        </w:tc>
      </w:tr>
      <w:tr>
        <w:tc>
          <w:tcPr>
            <w:tcW w:type="dxa" w:w="4680"/>
          </w:tcPr>
          <w:p>
            <w:r>
              <w:t>Information Security Officer (ISO)</w:t>
            </w:r>
          </w:p>
        </w:tc>
        <w:tc>
          <w:tcPr>
            <w:tcW w:type="dxa" w:w="4680"/>
          </w:tcPr>
          <w:p>
            <w:r>
              <w:t>Own and maintain this policy; approve exceptions; oversee access reviews.</w:t>
            </w:r>
          </w:p>
        </w:tc>
      </w:tr>
      <w:tr>
        <w:tc>
          <w:tcPr>
            <w:tcW w:type="dxa" w:w="4680"/>
          </w:tcPr>
          <w:p>
            <w:r>
              <w:t>IT / Identity Operations</w:t>
            </w:r>
          </w:p>
        </w:tc>
        <w:tc>
          <w:tcPr>
            <w:tcW w:type="dxa" w:w="4680"/>
          </w:tcPr>
          <w:p>
            <w:r>
              <w:t>Provision, modify, and revoke accounts; maintain IAM tooling; enforce technical controls.</w:t>
            </w:r>
          </w:p>
        </w:tc>
      </w:tr>
      <w:tr>
        <w:tc>
          <w:tcPr>
            <w:tcW w:type="dxa" w:w="4680"/>
          </w:tcPr>
          <w:p>
            <w:r>
              <w:t>Human Resources</w:t>
            </w:r>
          </w:p>
        </w:tc>
        <w:tc>
          <w:tcPr>
            <w:tcW w:type="dxa" w:w="4680"/>
          </w:tcPr>
          <w:p>
            <w:r>
              <w:t>Notify IT of new hires, role changes, and terminations on the day of the event.</w:t>
            </w:r>
          </w:p>
        </w:tc>
      </w:tr>
      <w:tr>
        <w:tc>
          <w:tcPr>
            <w:tcW w:type="dxa" w:w="4680"/>
          </w:tcPr>
          <w:p>
            <w:r>
              <w:t>Managers / System Owners</w:t>
            </w:r>
          </w:p>
        </w:tc>
        <w:tc>
          <w:tcPr>
            <w:tcW w:type="dxa" w:w="4680"/>
          </w:tcPr>
          <w:p>
            <w:r>
              <w:t>Approve access requests for their team; certify access during periodic reviews.</w:t>
            </w:r>
          </w:p>
        </w:tc>
      </w:tr>
      <w:tr>
        <w:tc>
          <w:tcPr>
            <w:tcW w:type="dxa" w:w="4680"/>
          </w:tcPr>
          <w:p>
            <w:r>
              <w:t>All Users</w:t>
            </w:r>
          </w:p>
        </w:tc>
        <w:tc>
          <w:tcPr>
            <w:tcW w:type="dxa" w:w="4680"/>
          </w:tcPr>
          <w:p>
            <w:r>
              <w:t>Request access through approved channels; protect credentials; report suspected compromise immediately.</w:t>
            </w:r>
          </w:p>
        </w:tc>
      </w:tr>
      <w:tr>
        <w:tc>
          <w:tcPr>
            <w:tcW w:type="dxa" w:w="4680"/>
          </w:tcPr>
          <w:p>
            <w:r>
              <w:t>Internal Audit</w:t>
            </w:r>
          </w:p>
        </w:tc>
        <w:tc>
          <w:tcPr>
            <w:tcW w:type="dxa" w:w="4680"/>
          </w:tcPr>
          <w:p>
            <w:r>
              <w:t>Periodically test compliance with this policy and review access control evidence.</w:t>
            </w:r>
          </w:p>
        </w:tc>
      </w:tr>
    </w:tbl>
    <w:p/>
    <w:p>
      <w:pPr>
        <w:pStyle w:val="Heading1"/>
      </w:pPr>
      <w:r>
        <w:t>5. Access Management Procedure</w:t>
      </w:r>
    </w:p>
    <w:p>
      <w:pPr>
        <w:spacing w:before="160" w:after="80"/>
      </w:pPr>
      <w:r>
        <w:rPr>
          <w:b/>
          <w:sz w:val="24"/>
        </w:rPr>
        <w:t>5.1  Access Request and Provisioning</w:t>
      </w:r>
    </w:p>
    <w:p>
      <w:pPr>
        <w:spacing w:after="60"/>
        <w:ind w:left="432"/>
      </w:pPr>
      <w:r>
        <w:t>1.  User or manager submits an access request via the approved ticketing system or IAM portal.</w:t>
      </w:r>
    </w:p>
    <w:p>
      <w:pPr>
        <w:spacing w:after="60"/>
        <w:ind w:left="432"/>
      </w:pPr>
      <w:r>
        <w:t>2.  Request is reviewed against the user's job role and the principle of least privilege.</w:t>
      </w:r>
    </w:p>
    <w:p>
      <w:pPr>
        <w:spacing w:after="60"/>
        <w:ind w:left="432"/>
      </w:pPr>
      <w:r>
        <w:t>3.  Manager (and data/system owner for sensitive systems) approves in writing.</w:t>
      </w:r>
    </w:p>
    <w:p>
      <w:pPr>
        <w:spacing w:after="60"/>
        <w:ind w:left="432"/>
      </w:pPr>
      <w:r>
        <w:t>4.  IT provisions access and records the approval reference in the access log.</w:t>
      </w:r>
    </w:p>
    <w:p>
      <w:pPr>
        <w:spacing w:after="60"/>
        <w:ind w:left="432"/>
      </w:pPr>
      <w:r>
        <w:t>5.  User is notified and acknowledges acceptable use obligations before first login.</w:t>
      </w:r>
    </w:p>
    <w:p>
      <w:pPr>
        <w:spacing w:before="160" w:after="80"/>
      </w:pPr>
      <w:r>
        <w:rPr>
          <w:b/>
          <w:sz w:val="24"/>
        </w:rPr>
        <w:t>5.2  Privileged Access Provisioning</w:t>
      </w:r>
    </w:p>
    <w:p>
      <w:pPr>
        <w:spacing w:after="60"/>
        <w:ind w:left="432"/>
      </w:pPr>
      <w:r>
        <w:t>1.  Request escalated to the ISO or designated approver in addition to the manager.</w:t>
      </w:r>
    </w:p>
    <w:p>
      <w:pPr>
        <w:spacing w:after="60"/>
        <w:ind w:left="432"/>
      </w:pPr>
      <w:r>
        <w:t>2.  Privileged account created separately from the user's standard account.</w:t>
      </w:r>
    </w:p>
    <w:p>
      <w:pPr>
        <w:spacing w:after="60"/>
        <w:ind w:left="432"/>
      </w:pPr>
      <w:r>
        <w:t>3.  Account enrolled in PAM solution with session recording enabled.</w:t>
      </w:r>
    </w:p>
    <w:p>
      <w:pPr>
        <w:spacing w:after="60"/>
        <w:ind w:left="432"/>
      </w:pPr>
      <w:r>
        <w:t>4.  MFA enforced at the privileged account level.</w:t>
      </w:r>
    </w:p>
    <w:p>
      <w:pPr>
        <w:spacing w:after="60"/>
        <w:ind w:left="432"/>
      </w:pPr>
      <w:r>
        <w:t>5.  Access documented in the Privileged Account Register (see Appendix A).</w:t>
      </w:r>
    </w:p>
    <w:p>
      <w:pPr>
        <w:spacing w:before="160" w:after="80"/>
      </w:pPr>
      <w:r>
        <w:rPr>
          <w:b/>
          <w:sz w:val="24"/>
        </w:rPr>
        <w:t>5.3  Access Review (Recertification)</w:t>
      </w:r>
    </w:p>
    <w:p>
      <w:pPr>
        <w:spacing w:after="120"/>
      </w:pPr>
      <w:r>
        <w:t>Managers receive a quarterly access report for privileged accounts and an annual report for all other accounts. Managers must certify, modify, or revoke each entry within 10 business days. Unresponded certifications are escalated to the ISO. Evidence of reviews is retained for a minimum of three years.</w:t>
      </w:r>
    </w:p>
    <w:p>
      <w:pPr>
        <w:spacing w:before="160" w:after="80"/>
      </w:pPr>
      <w:r>
        <w:rPr>
          <w:b/>
          <w:sz w:val="24"/>
        </w:rPr>
        <w:t>5.4  Access Revocation</w:t>
      </w:r>
    </w:p>
    <w:p>
      <w:pPr>
        <w:spacing w:after="60"/>
        <w:ind w:left="432"/>
      </w:pPr>
      <w:r>
        <w:t>1.  HR or manager notifies IT of termination or role change on the day of the event.</w:t>
      </w:r>
    </w:p>
    <w:p>
      <w:pPr>
        <w:spacing w:after="60"/>
        <w:ind w:left="432"/>
      </w:pPr>
      <w:r>
        <w:t>2.  IT disables or removes the account within the required timeframe (see Section 3.5).</w:t>
      </w:r>
    </w:p>
    <w:p>
      <w:pPr>
        <w:spacing w:after="60"/>
        <w:ind w:left="432"/>
      </w:pPr>
      <w:r>
        <w:t>3.  IT confirms revocation and updates the access log.</w:t>
      </w:r>
    </w:p>
    <w:p>
      <w:pPr>
        <w:spacing w:after="60"/>
        <w:ind w:left="432"/>
      </w:pPr>
      <w:r>
        <w:t>4.  Manager confirms whether any shared credentials require rotation.</w:t>
      </w:r>
    </w:p>
    <w:p>
      <w:pPr>
        <w:spacing w:after="60"/>
        <w:ind w:left="432"/>
      </w:pPr>
      <w:r>
        <w:t>5.  IT retains an audit trail of the revocation action.</w:t>
      </w:r>
    </w:p>
    <w:p>
      <w:pPr>
        <w:pStyle w:val="Heading1"/>
      </w:pPr>
      <w:r>
        <w:t>6. Standards and Framework Alignment</w:t>
      </w:r>
    </w:p>
    <w:p>
      <w:pPr>
        <w:spacing w:after="120"/>
      </w:pPr>
      <w:r>
        <w:t>This policy aligns with the following frameworks and standards:</w:t>
      </w:r>
    </w:p>
    <w:p>
      <w:pPr>
        <w:spacing w:after="60"/>
        <w:ind w:left="432"/>
      </w:pPr>
      <w:r>
        <w:t>•  NIST SP 800-53 Rev. 5: AC (Access Control), IA (Identification and Authentication), PS (Personnel Security)</w:t>
      </w:r>
    </w:p>
    <w:p>
      <w:pPr>
        <w:spacing w:after="60"/>
        <w:ind w:left="432"/>
      </w:pPr>
      <w:r>
        <w:t>•  NIST Cybersecurity Framework 2.0: PR.AA – Protect: Access Control and Identity Management</w:t>
      </w:r>
    </w:p>
    <w:p>
      <w:pPr>
        <w:spacing w:after="60"/>
        <w:ind w:left="432"/>
      </w:pPr>
      <w:r>
        <w:t>•  CIS Controls v8: Control 5 (Account Management), Control 6 (Access Control Management)</w:t>
      </w:r>
    </w:p>
    <w:p>
      <w:pPr>
        <w:spacing w:after="60"/>
        <w:ind w:left="432"/>
      </w:pPr>
      <w:r>
        <w:t>•  FFIEC IT Examination Handbook: Access and Entitlement Management</w:t>
      </w:r>
    </w:p>
    <w:p>
      <w:pPr>
        <w:spacing w:after="60"/>
        <w:ind w:left="432"/>
      </w:pPr>
      <w:r>
        <w:t>•  PCI DSS v4.0: Requirements 7 (Restrict Access) and 8 (Identify Users and Authenticate Access)</w:t>
      </w:r>
    </w:p>
    <w:p>
      <w:pPr>
        <w:pStyle w:val="Heading1"/>
      </w:pPr>
      <w:r>
        <w:t>7. Exceptions</w:t>
      </w:r>
    </w:p>
    <w:p>
      <w:pPr>
        <w:spacing w:after="120"/>
      </w:pPr>
      <w:r>
        <w:t>Exceptions to this policy must be submitted in writing to the ISO, include a documented business justification and compensating controls, and be approved prior to implementation. Exceptions are valid for no more than 12 months and must be reviewed and renewed annually.</w:t>
      </w:r>
    </w:p>
    <w:p>
      <w:pPr>
        <w:pStyle w:val="Heading1"/>
      </w:pPr>
      <w:r>
        <w:t>8. Policy Violations</w:t>
      </w:r>
    </w:p>
    <w:p>
      <w:pPr>
        <w:spacing w:after="120"/>
      </w:pPr>
      <w:r>
        <w:t>Violations of this policy may result in disciplinary action up to and including termination, civil or criminal legal action, and reporting to regulatory authorities as required. All suspected violations shall be reported to the ISO and reviewed under the Organization's incident management process.</w:t>
      </w:r>
    </w:p>
    <w:p>
      <w:pPr>
        <w:pStyle w:val="Heading1"/>
      </w:pPr>
      <w:r>
        <w:t>9. Review and Maintenance</w:t>
      </w:r>
    </w:p>
    <w:p>
      <w:pPr>
        <w:spacing w:after="120"/>
      </w:pPr>
      <w:r>
        <w:t>This policy shall be reviewed and updated at least annually, or following a significant organizational, technological, or regulatory change. The ISO is responsible for coordinating the review and obtaining executive approval of material changes.</w:t>
      </w:r>
    </w:p>
    <w:p>
      <w:r>
        <w:br w:type="page"/>
      </w:r>
    </w:p>
    <w:p>
      <w:pPr>
        <w:pStyle w:val="Heading1"/>
      </w:pPr>
      <w:r>
        <w:t>Appendix A: Privileged Account Register Template</w:t>
      </w:r>
    </w:p>
    <w:p>
      <w:pPr>
        <w:spacing w:after="120"/>
      </w:pPr>
      <w:r>
        <w:t>Maintain this register in a controlled-access location. Update whenever a privileged account is created, modified, or decommissioned.</w:t>
      </w:r>
    </w:p>
    <w:tbl>
      <w:tblPr>
        <w:tblW w:type="auto" w:w="0"/>
        <w:tblLook w:firstColumn="1" w:firstRow="1" w:lastColumn="0" w:lastRow="0" w:noHBand="0" w:noVBand="1" w:val="04A0"/>
      </w:tblPr>
      <w:tblGrid>
        <w:gridCol w:w="1560"/>
        <w:gridCol w:w="1560"/>
        <w:gridCol w:w="1560"/>
        <w:gridCol w:w="1560"/>
        <w:gridCol w:w="1560"/>
        <w:gridCol w:w="1560"/>
      </w:tblGrid>
      <w:tr>
        <w:tc>
          <w:tcPr>
            <w:tcW w:type="dxa" w:w="1560"/>
          </w:tcPr>
          <w:p>
            <w:r>
              <w:rPr>
                <w:b/>
              </w:rPr>
              <w:t>Account Name</w:t>
            </w:r>
          </w:p>
        </w:tc>
        <w:tc>
          <w:tcPr>
            <w:tcW w:type="dxa" w:w="1560"/>
          </w:tcPr>
          <w:p>
            <w:r>
              <w:rPr>
                <w:b/>
              </w:rPr>
              <w:t>System / Application</w:t>
            </w:r>
          </w:p>
        </w:tc>
        <w:tc>
          <w:tcPr>
            <w:tcW w:type="dxa" w:w="1560"/>
          </w:tcPr>
          <w:p>
            <w:r>
              <w:rPr>
                <w:b/>
              </w:rPr>
              <w:t>Account Owner</w:t>
            </w:r>
          </w:p>
        </w:tc>
        <w:tc>
          <w:tcPr>
            <w:tcW w:type="dxa" w:w="1560"/>
          </w:tcPr>
          <w:p>
            <w:r>
              <w:rPr>
                <w:b/>
              </w:rPr>
              <w:t>Account Type</w:t>
            </w:r>
          </w:p>
        </w:tc>
        <w:tc>
          <w:tcPr>
            <w:tcW w:type="dxa" w:w="1560"/>
          </w:tcPr>
          <w:p>
            <w:r>
              <w:rPr>
                <w:b/>
              </w:rPr>
              <w:t>MFA Enrolled?</w:t>
            </w:r>
          </w:p>
        </w:tc>
        <w:tc>
          <w:tcPr>
            <w:tcW w:type="dxa" w:w="1560"/>
          </w:tcPr>
          <w:p>
            <w:r>
              <w:rPr>
                <w:b/>
              </w:rPr>
              <w:t>Last Review Date</w:t>
            </w:r>
          </w:p>
        </w:tc>
      </w:tr>
      <w:tr>
        <w:tc>
          <w:tcPr>
            <w:tcW w:type="dxa" w:w="1560"/>
          </w:tcPr>
          <w:p>
            <w:r>
              <w:t>[svc_backup]</w:t>
            </w:r>
          </w:p>
        </w:tc>
        <w:tc>
          <w:tcPr>
            <w:tcW w:type="dxa" w:w="1560"/>
          </w:tcPr>
          <w:p>
            <w:r>
              <w:t>[Backup Server]</w:t>
            </w:r>
          </w:p>
        </w:tc>
        <w:tc>
          <w:tcPr>
            <w:tcW w:type="dxa" w:w="1560"/>
          </w:tcPr>
          <w:p>
            <w:r>
              <w:t>[Owner Name]</w:t>
            </w:r>
          </w:p>
        </w:tc>
        <w:tc>
          <w:tcPr>
            <w:tcW w:type="dxa" w:w="1560"/>
          </w:tcPr>
          <w:p>
            <w:r>
              <w:t>Service Account</w:t>
            </w:r>
          </w:p>
        </w:tc>
        <w:tc>
          <w:tcPr>
            <w:tcW w:type="dxa" w:w="1560"/>
          </w:tcPr>
          <w:p>
            <w:r>
              <w:t>N/A</w:t>
            </w:r>
          </w:p>
        </w:tc>
        <w:tc>
          <w:tcPr>
            <w:tcW w:type="dxa" w:w="1560"/>
          </w:tcPr>
          <w:p>
            <w:r>
              <w:t>[Date]</w:t>
            </w:r>
          </w:p>
        </w:tc>
      </w:tr>
    </w:tbl>
    <w:p/>
    <w:p>
      <w:pPr>
        <w:pStyle w:val="Heading1"/>
      </w:pPr>
      <w:r>
        <w:t>Appendix B: Access Request Form (Abbreviated)</w:t>
      </w:r>
    </w:p>
    <w:tbl>
      <w:tblPr>
        <w:tblW w:type="auto" w:w="0"/>
        <w:tblLook w:firstColumn="1" w:firstRow="1" w:lastColumn="0" w:lastRow="0" w:noHBand="0" w:noVBand="1" w:val="04A0"/>
      </w:tblPr>
      <w:tblGrid>
        <w:gridCol w:w="4680"/>
        <w:gridCol w:w="4680"/>
      </w:tblGrid>
      <w:tr>
        <w:tc>
          <w:tcPr>
            <w:tcW w:type="dxa" w:w="4680"/>
          </w:tcPr>
          <w:p>
            <w:r>
              <w:rPr>
                <w:b/>
              </w:rPr>
              <w:t>Field</w:t>
            </w:r>
          </w:p>
        </w:tc>
        <w:tc>
          <w:tcPr>
            <w:tcW w:type="dxa" w:w="4680"/>
          </w:tcPr>
          <w:p>
            <w:r>
              <w:rPr>
                <w:b/>
              </w:rPr>
              <w:t>Response</w:t>
            </w:r>
          </w:p>
        </w:tc>
      </w:tr>
      <w:tr>
        <w:tc>
          <w:tcPr>
            <w:tcW w:type="dxa" w:w="4680"/>
          </w:tcPr>
          <w:p>
            <w:r>
              <w:t>Requestor Name</w:t>
            </w:r>
          </w:p>
        </w:tc>
        <w:tc>
          <w:tcPr>
            <w:tcW w:type="dxa" w:w="4680"/>
          </w:tcPr>
          <w:p>
            <w:r/>
          </w:p>
        </w:tc>
      </w:tr>
      <w:tr>
        <w:tc>
          <w:tcPr>
            <w:tcW w:type="dxa" w:w="4680"/>
          </w:tcPr>
          <w:p>
            <w:r>
              <w:t>Date of Request</w:t>
            </w:r>
          </w:p>
        </w:tc>
        <w:tc>
          <w:tcPr>
            <w:tcW w:type="dxa" w:w="4680"/>
          </w:tcPr>
          <w:p>
            <w:r/>
          </w:p>
        </w:tc>
      </w:tr>
      <w:tr>
        <w:tc>
          <w:tcPr>
            <w:tcW w:type="dxa" w:w="4680"/>
          </w:tcPr>
          <w:p>
            <w:r>
              <w:t>User / Account Needing Access</w:t>
            </w:r>
          </w:p>
        </w:tc>
        <w:tc>
          <w:tcPr>
            <w:tcW w:type="dxa" w:w="4680"/>
          </w:tcPr>
          <w:p>
            <w:r/>
          </w:p>
        </w:tc>
      </w:tr>
      <w:tr>
        <w:tc>
          <w:tcPr>
            <w:tcW w:type="dxa" w:w="4680"/>
          </w:tcPr>
          <w:p>
            <w:r>
              <w:t>System(s) / Application(s)</w:t>
            </w:r>
          </w:p>
        </w:tc>
        <w:tc>
          <w:tcPr>
            <w:tcW w:type="dxa" w:w="4680"/>
          </w:tcPr>
          <w:p>
            <w:r/>
          </w:p>
        </w:tc>
      </w:tr>
      <w:tr>
        <w:tc>
          <w:tcPr>
            <w:tcW w:type="dxa" w:w="4680"/>
          </w:tcPr>
          <w:p>
            <w:r>
              <w:t>Access Level Requested</w:t>
            </w:r>
          </w:p>
        </w:tc>
        <w:tc>
          <w:tcPr>
            <w:tcW w:type="dxa" w:w="4680"/>
          </w:tcPr>
          <w:p>
            <w:r/>
          </w:p>
        </w:tc>
      </w:tr>
      <w:tr>
        <w:tc>
          <w:tcPr>
            <w:tcW w:type="dxa" w:w="4680"/>
          </w:tcPr>
          <w:p>
            <w:r>
              <w:t>Business Justification</w:t>
            </w:r>
          </w:p>
        </w:tc>
        <w:tc>
          <w:tcPr>
            <w:tcW w:type="dxa" w:w="4680"/>
          </w:tcPr>
          <w:p>
            <w:r/>
          </w:p>
        </w:tc>
      </w:tr>
      <w:tr>
        <w:tc>
          <w:tcPr>
            <w:tcW w:type="dxa" w:w="4680"/>
          </w:tcPr>
          <w:p>
            <w:r>
              <w:t>Manager Approval (Signature / Date)</w:t>
            </w:r>
          </w:p>
        </w:tc>
        <w:tc>
          <w:tcPr>
            <w:tcW w:type="dxa" w:w="4680"/>
          </w:tcPr>
          <w:p>
            <w:r/>
          </w:p>
        </w:tc>
      </w:tr>
      <w:tr>
        <w:tc>
          <w:tcPr>
            <w:tcW w:type="dxa" w:w="4680"/>
          </w:tcPr>
          <w:p>
            <w:r>
              <w:t>ISO Approval (privileged only – Signature / Date)</w:t>
            </w:r>
          </w:p>
        </w:tc>
        <w:tc>
          <w:tcPr>
            <w:tcW w:type="dxa" w:w="4680"/>
          </w:tcPr>
          <w:p>
            <w:r/>
          </w:p>
        </w:tc>
      </w:tr>
      <w:tr>
        <w:tc>
          <w:tcPr>
            <w:tcW w:type="dxa" w:w="4680"/>
          </w:tcPr>
          <w:p>
            <w:r>
              <w:t>IT Provisioned By / Date</w:t>
            </w:r>
          </w:p>
        </w:tc>
        <w:tc>
          <w:tcPr>
            <w:tcW w:type="dxa" w:w="4680"/>
          </w:tcPr>
          <w:p>
            <w:r/>
          </w:p>
        </w:tc>
      </w:tr>
      <w:tr>
        <w:tc>
          <w:tcPr>
            <w:tcW w:type="dxa" w:w="4680"/>
          </w:tcPr>
          <w:p>
            <w:r>
              <w:t>Ticket / Reference Number</w:t>
            </w:r>
          </w:p>
        </w:tc>
        <w:tc>
          <w:tcPr>
            <w:tcW w:type="dxa" w:w="4680"/>
          </w:tcPr>
          <w:p>
            <w:r/>
          </w:p>
        </w:tc>
      </w:tr>
    </w:tbl>
    <w:p/>
    <w:p>
      <w:pPr>
        <w:pStyle w:val="Heading1"/>
      </w:pPr>
      <w:r>
        <w:t>Appendix C: Glossary</w:t>
      </w:r>
    </w:p>
    <w:tbl>
      <w:tblPr>
        <w:tblW w:type="auto" w:w="0"/>
        <w:tblLook w:firstColumn="1" w:firstRow="1" w:lastColumn="0" w:lastRow="0" w:noHBand="0" w:noVBand="1" w:val="04A0"/>
      </w:tblPr>
      <w:tblGrid>
        <w:gridCol w:w="4680"/>
        <w:gridCol w:w="4680"/>
      </w:tblGrid>
      <w:tr>
        <w:tc>
          <w:tcPr>
            <w:tcW w:type="dxa" w:w="4680"/>
          </w:tcPr>
          <w:p>
            <w:r>
              <w:rPr>
                <w:b/>
              </w:rPr>
              <w:t>Term</w:t>
            </w:r>
          </w:p>
        </w:tc>
        <w:tc>
          <w:tcPr>
            <w:tcW w:type="dxa" w:w="4680"/>
          </w:tcPr>
          <w:p>
            <w:r>
              <w:rPr>
                <w:b/>
              </w:rPr>
              <w:t>Definition</w:t>
            </w:r>
          </w:p>
        </w:tc>
      </w:tr>
      <w:tr>
        <w:tc>
          <w:tcPr>
            <w:tcW w:type="dxa" w:w="4680"/>
          </w:tcPr>
          <w:p>
            <w:r>
              <w:t>Least Privilege</w:t>
            </w:r>
          </w:p>
        </w:tc>
        <w:tc>
          <w:tcPr>
            <w:tcW w:type="dxa" w:w="4680"/>
          </w:tcPr>
          <w:p>
            <w:r>
              <w:t>Granting only the access rights minimally necessary to perform a job function.</w:t>
            </w:r>
          </w:p>
        </w:tc>
      </w:tr>
      <w:tr>
        <w:tc>
          <w:tcPr>
            <w:tcW w:type="dxa" w:w="4680"/>
          </w:tcPr>
          <w:p>
            <w:r>
              <w:t>MFA (Multi-Factor Authentication)</w:t>
            </w:r>
          </w:p>
        </w:tc>
        <w:tc>
          <w:tcPr>
            <w:tcW w:type="dxa" w:w="4680"/>
          </w:tcPr>
          <w:p>
            <w:r>
              <w:t>Authentication requiring two or more independent credential factors.</w:t>
            </w:r>
          </w:p>
        </w:tc>
      </w:tr>
      <w:tr>
        <w:tc>
          <w:tcPr>
            <w:tcW w:type="dxa" w:w="4680"/>
          </w:tcPr>
          <w:p>
            <w:r>
              <w:t>Non-Person Entity (NPE)</w:t>
            </w:r>
          </w:p>
        </w:tc>
        <w:tc>
          <w:tcPr>
            <w:tcW w:type="dxa" w:w="4680"/>
          </w:tcPr>
          <w:p>
            <w:r>
              <w:t>A system account, service account, or API credential not associated with a human user.</w:t>
            </w:r>
          </w:p>
        </w:tc>
      </w:tr>
      <w:tr>
        <w:tc>
          <w:tcPr>
            <w:tcW w:type="dxa" w:w="4680"/>
          </w:tcPr>
          <w:p>
            <w:r>
              <w:t>PAM (Privileged Access Management)</w:t>
            </w:r>
          </w:p>
        </w:tc>
        <w:tc>
          <w:tcPr>
            <w:tcW w:type="dxa" w:w="4680"/>
          </w:tcPr>
          <w:p>
            <w:r>
              <w:t>Tools and processes used to control, monitor, and audit privileged account usage.</w:t>
            </w:r>
          </w:p>
        </w:tc>
      </w:tr>
      <w:tr>
        <w:tc>
          <w:tcPr>
            <w:tcW w:type="dxa" w:w="4680"/>
          </w:tcPr>
          <w:p>
            <w:r>
              <w:t>Separation of Duties (SoD)</w:t>
            </w:r>
          </w:p>
        </w:tc>
        <w:tc>
          <w:tcPr>
            <w:tcW w:type="dxa" w:w="4680"/>
          </w:tcPr>
          <w:p>
            <w:r>
              <w:t>Dividing tasks and privileges among multiple people to reduce the risk of fraud or error.</w:t>
            </w:r>
          </w:p>
        </w:tc>
      </w:tr>
      <w:tr>
        <w:tc>
          <w:tcPr>
            <w:tcW w:type="dxa" w:w="4680"/>
          </w:tcPr>
          <w:p>
            <w:r>
              <w:t>Access Recertification</w:t>
            </w:r>
          </w:p>
        </w:tc>
        <w:tc>
          <w:tcPr>
            <w:tcW w:type="dxa" w:w="4680"/>
          </w:tcPr>
          <w:p>
            <w:r>
              <w:t>A periodic review in which account owners confirm users' access rights remain appropriate.</w:t>
            </w:r>
          </w:p>
        </w:tc>
      </w:tr>
    </w:tbl>
    <w:p/>
    <w:p>
      <w:pPr>
        <w:pStyle w:val="Heading1"/>
      </w:pPr>
      <w:r>
        <w:t>Document Control</w:t>
      </w:r>
    </w:p>
    <w:tbl>
      <w:tblPr>
        <w:tblW w:type="auto" w:w="0"/>
        <w:tblLook w:firstColumn="1" w:firstRow="1" w:lastColumn="0" w:lastRow="0" w:noHBand="0" w:noVBand="1" w:val="04A0"/>
      </w:tblPr>
      <w:tblGrid>
        <w:gridCol w:w="2340"/>
        <w:gridCol w:w="2340"/>
        <w:gridCol w:w="2340"/>
        <w:gridCol w:w="2340"/>
      </w:tblGrid>
      <w:tr>
        <w:tc>
          <w:tcPr>
            <w:tcW w:type="dxa" w:w="2340"/>
          </w:tcPr>
          <w:p>
            <w:r>
              <w:rPr>
                <w:b/>
              </w:rPr>
              <w:t>Version</w:t>
            </w:r>
          </w:p>
        </w:tc>
        <w:tc>
          <w:tcPr>
            <w:tcW w:type="dxa" w:w="2340"/>
          </w:tcPr>
          <w:p>
            <w:r>
              <w:rPr>
                <w:b/>
              </w:rPr>
              <w:t>Date</w:t>
            </w:r>
          </w:p>
        </w:tc>
        <w:tc>
          <w:tcPr>
            <w:tcW w:type="dxa" w:w="2340"/>
          </w:tcPr>
          <w:p>
            <w:r>
              <w:rPr>
                <w:b/>
              </w:rPr>
              <w:t>Author</w:t>
            </w:r>
          </w:p>
        </w:tc>
        <w:tc>
          <w:tcPr>
            <w:tcW w:type="dxa" w:w="2340"/>
          </w:tcPr>
          <w:p>
            <w:r>
              <w:rPr>
                <w:b/>
              </w:rPr>
              <w:t>Change Summary</w:t>
            </w:r>
          </w:p>
        </w:tc>
      </w:tr>
      <w:tr>
        <w:tc>
          <w:tcPr>
            <w:tcW w:type="dxa" w:w="2340"/>
          </w:tcPr>
          <w:p>
            <w:r>
              <w:t>1.0</w:t>
            </w:r>
          </w:p>
        </w:tc>
        <w:tc>
          <w:tcPr>
            <w:tcW w:type="dxa" w:w="2340"/>
          </w:tcPr>
          <w:p>
            <w:r>
              <w:t>[EFFECTIVE DATE]</w:t>
            </w:r>
          </w:p>
        </w:tc>
        <w:tc>
          <w:tcPr>
            <w:tcW w:type="dxa" w:w="2340"/>
          </w:tcPr>
          <w:p>
            <w:r>
              <w:t>SecureCyberInsight</w:t>
            </w:r>
          </w:p>
        </w:tc>
        <w:tc>
          <w:tcPr>
            <w:tcW w:type="dxa" w:w="2340"/>
          </w:tcPr>
          <w:p>
            <w:r>
              <w:t>Initial release</w:t>
            </w:r>
          </w:p>
        </w:tc>
      </w:tr>
    </w:tbl>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