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Control Maturity Model for SMB and Regulated Organizations (Sample)</w:t>
      </w:r>
    </w:p>
    <w:p>
      <w:pPr>
        <w:spacing w:after="354"/>
      </w:pPr>
      <w:r>
        <w:rPr>
          <w:rFonts w:ascii="Georgia" w:hAnsi="Georgia" w:cs="Georgia"/>
          <w:sz w:val="42"/>
          <w:sz-cs w:val="42"/>
          <w:b/>
          <w:spacing w:val="0"/>
          <w:color w:val="151E39"/>
        </w:rPr>
        <w:t xml:space="preserve">Purpose</w:t>
      </w:r>
    </w:p>
    <w:p>
      <w:pPr>
        <w:spacing w:after="293"/>
      </w:pPr>
      <w:r>
        <w:rPr>
          <w:rFonts w:ascii="Arial" w:hAnsi="Arial" w:cs="Arial"/>
          <w:sz w:val="29"/>
          <w:sz-cs w:val="29"/>
          <w:spacing w:val="0"/>
          <w:color w:val="0E121D"/>
        </w:rPr>
        <w:t xml:space="preserve">This sample provides a practical control maturity model that can be used to:</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assess the current state of a cybersecurity or compliance program</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identify where controls are informal, repeatable, or optimized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support roadmap planning and resource prioritization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communicate improvement needs to leadership</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compare expectations for smaller organizations and more regulated environments</w:t>
      </w:r>
    </w:p>
    <w:p>
      <w:pPr>
        <w:spacing w:after="293"/>
      </w:pPr>
      <w:r>
        <w:rPr>
          <w:rFonts w:ascii="Arial" w:hAnsi="Arial" w:cs="Arial"/>
          <w:sz w:val="29"/>
          <w:sz-cs w:val="29"/>
          <w:spacing w:val="0"/>
          <w:color w:val="0E121D"/>
        </w:rPr>
        <w:t xml:space="preserve">This model is designed to be understandable for SMBs while still useful for organizations with audit, exam, or contractual oversight.</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 Maturity Scale</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Name</w:t>
      </w:r>
    </w:p>
    <w:p>
      <w:pPr/>
      <w:r>
        <w:rPr>
          <w:rFonts w:ascii="Arial" w:hAnsi="Arial" w:cs="Arial"/>
          <w:sz w:val="29"/>
          <w:sz-cs w:val="29"/>
          <w:spacing w:val="0"/>
          <w:color w:val="0E121D"/>
        </w:rPr>
        <w:t xml:space="preserve">Description</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Initial</w:t>
      </w:r>
    </w:p>
    <w:p>
      <w:pPr/>
      <w:r>
        <w:rPr>
          <w:rFonts w:ascii="Arial" w:hAnsi="Arial" w:cs="Arial"/>
          <w:sz w:val="29"/>
          <w:sz-cs w:val="29"/>
          <w:spacing w:val="0"/>
          <w:color w:val="0E121D"/>
        </w:rPr>
        <w:t xml:space="preserve">Control activity is ad hoc, reactive, or dependent on individuals</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Developing</w:t>
      </w:r>
    </w:p>
    <w:p>
      <w:pPr/>
      <w:r>
        <w:rPr>
          <w:rFonts w:ascii="Arial" w:hAnsi="Arial" w:cs="Arial"/>
          <w:sz w:val="29"/>
          <w:sz-cs w:val="29"/>
          <w:spacing w:val="0"/>
          <w:color w:val="0E121D"/>
        </w:rPr>
        <w:t xml:space="preserve">Control exists in part, but execution is inconsistent or lightly documented</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Defined</w:t>
      </w:r>
    </w:p>
    <w:p>
      <w:pPr/>
      <w:r>
        <w:rPr>
          <w:rFonts w:ascii="Arial" w:hAnsi="Arial" w:cs="Arial"/>
          <w:sz w:val="29"/>
          <w:sz-cs w:val="29"/>
          <w:spacing w:val="0"/>
          <w:color w:val="0E121D"/>
        </w:rPr>
        <w:t xml:space="preserve">Control is documented, assigned, and generally repeatable</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Managed</w:t>
      </w:r>
    </w:p>
    <w:p>
      <w:pPr/>
      <w:r>
        <w:rPr>
          <w:rFonts w:ascii="Arial" w:hAnsi="Arial" w:cs="Arial"/>
          <w:sz w:val="29"/>
          <w:sz-cs w:val="29"/>
          <w:spacing w:val="0"/>
          <w:color w:val="0E121D"/>
        </w:rPr>
        <w:t xml:space="preserve">Control is measured, evidenced, and regularly reviewed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Optimized</w:t>
      </w:r>
    </w:p>
    <w:p>
      <w:pPr/>
      <w:r>
        <w:rPr>
          <w:rFonts w:ascii="Arial" w:hAnsi="Arial" w:cs="Arial"/>
          <w:sz w:val="29"/>
          <w:sz-cs w:val="29"/>
          <w:spacing w:val="0"/>
          <w:color w:val="0E121D"/>
        </w:rPr>
        <w:t xml:space="preserve">Control is mature, integrated, and improved based on metrics, testing, and changing risk</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2. How to Use This Model</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Review each control domain.</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Assign a maturity score from </w:t>
      </w:r>
      <w:r>
        <w:rPr>
          <w:rFonts w:ascii="Arial" w:hAnsi="Arial" w:cs="Arial"/>
          <w:sz w:val="29"/>
          <w:sz-cs w:val="29"/>
          <w:b/>
          <w:spacing w:val="0"/>
          <w:color w:val="0E121D"/>
        </w:rPr>
        <w:t xml:space="preserve">1 to 5</w:t>
      </w:r>
      <w:r>
        <w:rPr>
          <w:rFonts w:ascii="Arial" w:hAnsi="Arial" w:cs="Arial"/>
          <w:sz w:val="29"/>
          <w:sz-cs w:val="29"/>
          <w:spacing w:val="0"/>
          <w:color w:val="0E121D"/>
        </w:rPr>
        <w:t xml:space="preserve"> based on observed evidence.</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Record supporting evidence, notable gaps, and next actions.</w:t>
      </w:r>
    </w:p>
    <w:p>
      <w:pPr>
        <w:ind w:left="720" w:first-line="-720"/>
      </w:pPr>
      <w:r>
        <w:rPr>
          <w:rFonts w:ascii="Arial" w:hAnsi="Arial" w:cs="Arial"/>
          <w:sz w:val="29"/>
          <w:sz-cs w:val="29"/>
          <w:color w:val="0E121D"/>
        </w:rPr>
        <w:t xml:space="preserve"/>
        <w:tab/>
        <w:t xml:space="preserve">4</w:t>
        <w:tab/>
        <w:t xml:space="preserve"/>
      </w:r>
      <w:r>
        <w:rPr>
          <w:rFonts w:ascii="Arial" w:hAnsi="Arial" w:cs="Arial"/>
          <w:sz w:val="29"/>
          <w:sz-cs w:val="29"/>
          <w:spacing w:val="0"/>
          <w:color w:val="0E121D"/>
        </w:rPr>
        <w:t xml:space="preserve">Identify target maturity by domain.</w:t>
      </w:r>
    </w:p>
    <w:p>
      <w:pPr>
        <w:ind w:left="720" w:first-line="-720"/>
      </w:pPr>
      <w:r>
        <w:rPr>
          <w:rFonts w:ascii="Arial" w:hAnsi="Arial" w:cs="Arial"/>
          <w:sz w:val="29"/>
          <w:sz-cs w:val="29"/>
          <w:color w:val="0E121D"/>
        </w:rPr>
        <w:t xml:space="preserve"/>
        <w:tab/>
        <w:t xml:space="preserve">5</w:t>
        <w:tab/>
        <w:t xml:space="preserve"/>
      </w:r>
      <w:r>
        <w:rPr>
          <w:rFonts w:ascii="Arial" w:hAnsi="Arial" w:cs="Arial"/>
          <w:sz w:val="29"/>
          <w:sz-cs w:val="29"/>
          <w:spacing w:val="0"/>
          <w:color w:val="0E121D"/>
        </w:rPr>
        <w:t xml:space="preserve">Build a phased roadmap rather than trying to raise every domain at once.</w:t>
      </w:r>
    </w:p>
    <w:p>
      <w:pPr>
        <w:spacing w:after="293"/>
      </w:pPr>
      <w:r>
        <w:rPr>
          <w:rFonts w:ascii="Arial" w:hAnsi="Arial" w:cs="Arial"/>
          <w:sz w:val="29"/>
          <w:sz-cs w:val="29"/>
          <w:spacing w:val="0"/>
          <w:color w:val="0E121D"/>
        </w:rPr>
        <w:t xml:space="preserve">&gt; Not every organization needs every domain at Level 5. Target maturity should reflect business risk, customer expectations, and regulatory obligations.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3. Control Domains</w:t>
      </w:r>
    </w:p>
    <w:p>
      <w:pPr>
        <w:spacing w:after="346"/>
      </w:pPr>
      <w:r>
        <w:rPr>
          <w:rFonts w:ascii="Georgia" w:hAnsi="Georgia" w:cs="Georgia"/>
          <w:sz w:val="34"/>
          <w:sz-cs w:val="34"/>
          <w:b/>
          <w:spacing w:val="0"/>
          <w:color w:val="151E39"/>
        </w:rPr>
        <w:t xml:space="preserve">3.1 Governance and Accountability</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Security responsibilities are unclear; decisions are mostly reactive.</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Some ownership exists, but governance is informal and inconsistent.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Roles, reporting lines, and review cadence are documented.</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Leadership receives regular reporting; issues, exceptions, and plans are tracked.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Governance is integrated with enterprise risk, budgeting, and strategic planning.</w:t>
      </w:r>
    </w:p>
    <w:p>
      <w:pPr>
        <w:spacing w:after="346"/>
      </w:pPr>
      <w:r>
        <w:rPr>
          <w:rFonts w:ascii="Georgia" w:hAnsi="Georgia" w:cs="Georgia"/>
          <w:sz w:val="34"/>
          <w:sz-cs w:val="34"/>
          <w:b/>
          <w:spacing w:val="0"/>
          <w:color w:val="151E39"/>
        </w:rPr>
        <w:t xml:space="preserve">3.2 Risk Assessment and Risk Treatment</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Risks are addressed only after incidents or external requests.</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Risk reviews happen occasionally, but methodology is inconsistent.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A documented methodology and risk register are in use.</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Risk ratings, treatment plans, and reassessments are tracked consistently.</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Risk decisions are data-informed, repeatable, and aligned to risk appetite.</w:t>
      </w:r>
    </w:p>
    <w:p>
      <w:pPr>
        <w:spacing w:after="346"/>
      </w:pPr>
      <w:r>
        <w:rPr>
          <w:rFonts w:ascii="Georgia" w:hAnsi="Georgia" w:cs="Georgia"/>
          <w:sz w:val="34"/>
          <w:sz-cs w:val="34"/>
          <w:b/>
          <w:spacing w:val="0"/>
          <w:color w:val="151E39"/>
        </w:rPr>
        <w:t xml:space="preserve">3.3 Policies, Standards, and Procedures</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Documentation is missing or outdated.</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Some policies exist, but procedures are incomplete or not followed consistently.</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Core documentation is approved, versioned, and communicated.</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Documentation aligns with practice and is reviewed on schedule.</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Documentation is lifecycle-managed and updated based on testing, incidents, and change.</w:t>
      </w:r>
    </w:p>
    <w:p>
      <w:pPr>
        <w:spacing w:after="346"/>
      </w:pPr>
      <w:r>
        <w:rPr>
          <w:rFonts w:ascii="Georgia" w:hAnsi="Georgia" w:cs="Georgia"/>
          <w:sz w:val="34"/>
          <w:sz-cs w:val="34"/>
          <w:b/>
          <w:spacing w:val="0"/>
          <w:color w:val="151E39"/>
        </w:rPr>
        <w:t xml:space="preserve">3.4 Identity and Access Management</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Access is granted manually with limited review or control.</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Basic provisioning and deprovisioning steps exist, but reviews are inconsistent.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Access requests, approvals, privileged controls, and periodic reviews are defined.</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MFA, privileged access controls, and review evidence are consistently maintained.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Identity controls are automated, risk-based, and continuously monitored.</w:t>
      </w:r>
    </w:p>
    <w:p>
      <w:pPr>
        <w:spacing w:after="346"/>
      </w:pPr>
      <w:r>
        <w:rPr>
          <w:rFonts w:ascii="Georgia" w:hAnsi="Georgia" w:cs="Georgia"/>
          <w:sz w:val="34"/>
          <w:sz-cs w:val="34"/>
          <w:b/>
          <w:spacing w:val="0"/>
          <w:color w:val="151E39"/>
        </w:rPr>
        <w:t xml:space="preserve">3.5 Vulnerability and Patch Management</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Vulnerabilities are handled only when they become urgent.</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Scanning or patching occurs, but timelines and ownership are inconsistent.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There is a documented process with severity-based expectations.</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Findings, exceptions, and aging are tracked and reported.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Exposure trends, root causes, and remediation efficiency are actively managed.</w:t>
      </w:r>
    </w:p>
    <w:p>
      <w:pPr>
        <w:spacing w:after="346"/>
      </w:pPr>
      <w:r>
        <w:rPr>
          <w:rFonts w:ascii="Georgia" w:hAnsi="Georgia" w:cs="Georgia"/>
          <w:sz w:val="34"/>
          <w:sz-cs w:val="34"/>
          <w:b/>
          <w:spacing w:val="0"/>
          <w:color w:val="151E39"/>
        </w:rPr>
        <w:t xml:space="preserve">3.6 Logging, Monitoring, and Incident Response</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Monitoring is minimal; incident handling is improvised.</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Some alerts or response steps exist, but coverage is inconsistent.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Logging scope, triage steps, and incident procedures are documented.</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Incidents are tracked, investigated, and supported by evidence and lessons learned.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Detection and response are measured, tested, and improved through exercises and trend analysis.</w:t>
      </w:r>
    </w:p>
    <w:p>
      <w:pPr>
        <w:spacing w:after="346"/>
      </w:pPr>
      <w:r>
        <w:rPr>
          <w:rFonts w:ascii="Georgia" w:hAnsi="Georgia" w:cs="Georgia"/>
          <w:sz w:val="34"/>
          <w:sz-cs w:val="34"/>
          <w:b/>
          <w:spacing w:val="0"/>
          <w:color w:val="151E39"/>
        </w:rPr>
        <w:t xml:space="preserve">3.7 Vendor and Third-Party Risk Management</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Vendors are onboarded with little or no formal security review.</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Reviews happen for some vendors, but criteria are inconsistent.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Tiering, due diligence, and reassessment requirements are documented.</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Evidence, approvals, exceptions, and review cycles are tracked.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Third-party risk is integrated with contracting, criticality, and ongoing monitoring.</w:t>
      </w:r>
    </w:p>
    <w:p>
      <w:pPr>
        <w:spacing w:after="346"/>
      </w:pPr>
      <w:r>
        <w:rPr>
          <w:rFonts w:ascii="Georgia" w:hAnsi="Georgia" w:cs="Georgia"/>
          <w:sz w:val="34"/>
          <w:sz-cs w:val="34"/>
          <w:b/>
          <w:spacing w:val="0"/>
          <w:color w:val="151E39"/>
        </w:rPr>
        <w:t xml:space="preserve">3.8 Resilience, Backup, and Recovery</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Recovery assumptions are undocumented or untested.</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Backups exist, but recovery planning and validation are limited.</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Recovery priorities, contacts, and procedures are documented.</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Backup success, restore testing, and recovery gaps are tracked.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Resilience strategy is regularly tested and aligned to business impact tolerance.</w:t>
      </w:r>
    </w:p>
    <w:p>
      <w:pPr>
        <w:spacing w:after="346"/>
      </w:pPr>
      <w:r>
        <w:rPr>
          <w:rFonts w:ascii="Georgia" w:hAnsi="Georgia" w:cs="Georgia"/>
          <w:sz w:val="34"/>
          <w:sz-cs w:val="34"/>
          <w:b/>
          <w:spacing w:val="0"/>
          <w:color w:val="151E39"/>
        </w:rPr>
        <w:t xml:space="preserve">3.9 Security Awareness and Workforce Practices</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Training is rare or only reactionary.</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Basic training exists, but completion and reinforcement are inconsistent.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Training and onboarding expectations are defined and repeatable.</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Completion, targeted reinforcement, and exceptions are tracked.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Human-risk insights are used to tune awareness strategy and role-based interventions.</w:t>
      </w:r>
    </w:p>
    <w:p>
      <w:pPr>
        <w:spacing w:after="346"/>
      </w:pPr>
      <w:r>
        <w:rPr>
          <w:rFonts w:ascii="Georgia" w:hAnsi="Georgia" w:cs="Georgia"/>
          <w:sz w:val="34"/>
          <w:sz-cs w:val="34"/>
          <w:b/>
          <w:spacing w:val="0"/>
          <w:color w:val="151E39"/>
        </w:rPr>
        <w:t xml:space="preserve">3.10 Audit, Compliance, and Evidence Management</w:t>
      </w:r>
    </w:p>
    <w:p>
      <w:pPr/>
      <w:r>
        <w:rPr>
          <w:rFonts w:ascii="Arial" w:hAnsi="Arial" w:cs="Arial"/>
          <w:sz w:val="29"/>
          <w:sz-cs w:val="29"/>
          <w:spacing w:val="0"/>
          <w:color w:val="0E121D"/>
        </w:rPr>
        <w:t xml:space="preserve">Level</w:t>
      </w:r>
    </w:p>
    <w:p>
      <w:pPr/>
      <w:r>
        <w:rPr>
          <w:rFonts w:ascii="Arial" w:hAnsi="Arial" w:cs="Arial"/>
          <w:sz w:val="29"/>
          <w:sz-cs w:val="29"/>
          <w:spacing w:val="0"/>
          <w:color w:val="0E121D"/>
        </w:rPr>
        <w:t xml:space="preserve">Characteristics</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Evidence collection is last-minute and manual.</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Some documentation is available, but retrieval is slow or incomplete.</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Evidence owners, repositories, and review expectations are defined.</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Findings, remediation, and support records are maintained consistently.</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Evidence readiness is continuous and supports audits, exams, and customer requests efficiently.</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4. Assessment Worksheet</w:t>
      </w:r>
    </w:p>
    <w:p>
      <w:pPr/>
      <w:r>
        <w:rPr>
          <w:rFonts w:ascii="Arial" w:hAnsi="Arial" w:cs="Arial"/>
          <w:sz w:val="29"/>
          <w:sz-cs w:val="29"/>
          <w:spacing w:val="0"/>
          <w:color w:val="0E121D"/>
        </w:rPr>
        <w:t xml:space="preserve">Domain</w:t>
      </w:r>
    </w:p>
    <w:p>
      <w:pPr/>
      <w:r>
        <w:rPr>
          <w:rFonts w:ascii="Arial" w:hAnsi="Arial" w:cs="Arial"/>
          <w:sz w:val="29"/>
          <w:sz-cs w:val="29"/>
          <w:spacing w:val="0"/>
          <w:color w:val="0E121D"/>
        </w:rPr>
        <w:t xml:space="preserve">Current Maturity (1-5)</w:t>
      </w:r>
    </w:p>
    <w:p>
      <w:pPr/>
      <w:r>
        <w:rPr>
          <w:rFonts w:ascii="Arial" w:hAnsi="Arial" w:cs="Arial"/>
          <w:sz w:val="29"/>
          <w:sz-cs w:val="29"/>
          <w:spacing w:val="0"/>
          <w:color w:val="0E121D"/>
        </w:rPr>
        <w:t xml:space="preserve">Target Maturity</w:t>
      </w:r>
    </w:p>
    <w:p>
      <w:pPr/>
      <w:r>
        <w:rPr>
          <w:rFonts w:ascii="Arial" w:hAnsi="Arial" w:cs="Arial"/>
          <w:sz w:val="29"/>
          <w:sz-cs w:val="29"/>
          <w:spacing w:val="0"/>
          <w:color w:val="0E121D"/>
        </w:rPr>
        <w:t xml:space="preserve">Evidence / Notes</w:t>
      </w:r>
    </w:p>
    <w:p>
      <w:pPr/>
      <w:r>
        <w:rPr>
          <w:rFonts w:ascii="Arial" w:hAnsi="Arial" w:cs="Arial"/>
          <w:sz w:val="29"/>
          <w:sz-cs w:val="29"/>
          <w:spacing w:val="0"/>
          <w:color w:val="0E121D"/>
        </w:rPr>
        <w:t xml:space="preserve">Priority Actions</w:t>
      </w:r>
    </w:p>
    <w:p>
      <w:pPr/>
      <w:r>
        <w:rPr>
          <w:rFonts w:ascii="Arial" w:hAnsi="Arial" w:cs="Arial"/>
          <w:sz w:val="29"/>
          <w:sz-cs w:val="29"/>
          <w:spacing w:val="0"/>
          <w:color w:val="0E121D"/>
        </w:rPr>
        <w:t xml:space="preserve">Governance and Accountability</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Risk Assessment and Risk Treatment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Policies, Standards, and Procedures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Identity and Access Management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Vulnerability and Patch Management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Logging, Monitoring, and Incident Response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Vendor and Third-Party Risk Management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Resilience, Backup, and Recovery</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Security Awareness and Workforce Practices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Audit, Compliance, and Evidence Management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5. Interpreting Results</w:t>
      </w:r>
    </w:p>
    <w:p>
      <w:pPr>
        <w:spacing w:after="346"/>
      </w:pPr>
      <w:r>
        <w:rPr>
          <w:rFonts w:ascii="Georgia" w:hAnsi="Georgia" w:cs="Georgia"/>
          <w:sz w:val="34"/>
          <w:sz-cs w:val="34"/>
          <w:b/>
          <w:spacing w:val="0"/>
          <w:color w:val="151E39"/>
        </w:rPr>
        <w:t xml:space="preserve">Suggested Overall View</w:t>
      </w:r>
    </w:p>
    <w:p>
      <w:pPr/>
      <w:r>
        <w:rPr>
          <w:rFonts w:ascii="Arial" w:hAnsi="Arial" w:cs="Arial"/>
          <w:sz w:val="29"/>
          <w:sz-cs w:val="29"/>
          <w:spacing w:val="0"/>
          <w:color w:val="0E121D"/>
        </w:rPr>
        <w:t xml:space="preserve">Average Score</w:t>
      </w:r>
    </w:p>
    <w:p>
      <w:pPr/>
      <w:r>
        <w:rPr>
          <w:rFonts w:ascii="Arial" w:hAnsi="Arial" w:cs="Arial"/>
          <w:sz w:val="29"/>
          <w:sz-cs w:val="29"/>
          <w:spacing w:val="0"/>
          <w:color w:val="0E121D"/>
        </w:rPr>
        <w:t xml:space="preserve">Maturity Interpretation</w:t>
      </w:r>
    </w:p>
    <w:p>
      <w:pPr/>
      <w:r>
        <w:rPr>
          <w:rFonts w:ascii="Arial" w:hAnsi="Arial" w:cs="Arial"/>
          <w:sz w:val="29"/>
          <w:sz-cs w:val="29"/>
          <w:spacing w:val="0"/>
          <w:color w:val="0E121D"/>
        </w:rPr>
        <w:t xml:space="preserve">1.0-1.9</w:t>
      </w:r>
    </w:p>
    <w:p>
      <w:pPr/>
      <w:r>
        <w:rPr>
          <w:rFonts w:ascii="Arial" w:hAnsi="Arial" w:cs="Arial"/>
          <w:sz w:val="29"/>
          <w:sz-cs w:val="29"/>
          <w:spacing w:val="0"/>
          <w:color w:val="0E121D"/>
        </w:rPr>
        <w:t xml:space="preserve">Foundational gaps require immediate attention</w:t>
      </w:r>
    </w:p>
    <w:p>
      <w:pPr/>
      <w:r>
        <w:rPr>
          <w:rFonts w:ascii="Arial" w:hAnsi="Arial" w:cs="Arial"/>
          <w:sz w:val="29"/>
          <w:sz-cs w:val="29"/>
          <w:spacing w:val="0"/>
          <w:color w:val="0E121D"/>
        </w:rPr>
        <w:t xml:space="preserve">2.0-2.9</w:t>
      </w:r>
    </w:p>
    <w:p>
      <w:pPr/>
      <w:r>
        <w:rPr>
          <w:rFonts w:ascii="Arial" w:hAnsi="Arial" w:cs="Arial"/>
          <w:sz w:val="29"/>
          <w:sz-cs w:val="29"/>
          <w:spacing w:val="0"/>
          <w:color w:val="0E121D"/>
        </w:rPr>
        <w:t xml:space="preserve">Developing program with meaningful inconsistency</w:t>
      </w:r>
    </w:p>
    <w:p>
      <w:pPr/>
      <w:r>
        <w:rPr>
          <w:rFonts w:ascii="Arial" w:hAnsi="Arial" w:cs="Arial"/>
          <w:sz w:val="29"/>
          <w:sz-cs w:val="29"/>
          <w:spacing w:val="0"/>
          <w:color w:val="0E121D"/>
        </w:rPr>
        <w:t xml:space="preserve">3.0-3.9</w:t>
      </w:r>
    </w:p>
    <w:p>
      <w:pPr/>
      <w:r>
        <w:rPr>
          <w:rFonts w:ascii="Arial" w:hAnsi="Arial" w:cs="Arial"/>
          <w:sz w:val="29"/>
          <w:sz-cs w:val="29"/>
          <w:spacing w:val="0"/>
          <w:color w:val="0E121D"/>
        </w:rPr>
        <w:t xml:space="preserve">Defined program with improvement opportunities</w:t>
      </w:r>
    </w:p>
    <w:p>
      <w:pPr/>
      <w:r>
        <w:rPr>
          <w:rFonts w:ascii="Arial" w:hAnsi="Arial" w:cs="Arial"/>
          <w:sz w:val="29"/>
          <w:sz-cs w:val="29"/>
          <w:spacing w:val="0"/>
          <w:color w:val="0E121D"/>
        </w:rPr>
        <w:t xml:space="preserve">4.0-4.4</w:t>
      </w:r>
    </w:p>
    <w:p>
      <w:pPr/>
      <w:r>
        <w:rPr>
          <w:rFonts w:ascii="Arial" w:hAnsi="Arial" w:cs="Arial"/>
          <w:sz w:val="29"/>
          <w:sz-cs w:val="29"/>
          <w:spacing w:val="0"/>
          <w:color w:val="0E121D"/>
        </w:rPr>
        <w:t xml:space="preserve">Managed program with good evidence and oversight</w:t>
      </w:r>
    </w:p>
    <w:p>
      <w:pPr/>
      <w:r>
        <w:rPr>
          <w:rFonts w:ascii="Arial" w:hAnsi="Arial" w:cs="Arial"/>
          <w:sz w:val="29"/>
          <w:sz-cs w:val="29"/>
          <w:spacing w:val="0"/>
          <w:color w:val="0E121D"/>
        </w:rPr>
        <w:t xml:space="preserve">4.5-5.0</w:t>
      </w:r>
    </w:p>
    <w:p>
      <w:pPr/>
      <w:r>
        <w:rPr>
          <w:rFonts w:ascii="Arial" w:hAnsi="Arial" w:cs="Arial"/>
          <w:sz w:val="29"/>
          <w:sz-cs w:val="29"/>
          <w:spacing w:val="0"/>
          <w:color w:val="0E121D"/>
        </w:rPr>
        <w:t xml:space="preserve">Highly mature program with optimization practices</w:t>
      </w:r>
    </w:p>
    <w:p>
      <w:pPr>
        <w:spacing w:after="346"/>
      </w:pPr>
      <w:r>
        <w:rPr>
          <w:rFonts w:ascii="Georgia" w:hAnsi="Georgia" w:cs="Georgia"/>
          <w:sz w:val="34"/>
          <w:sz-cs w:val="34"/>
          <w:b/>
          <w:spacing w:val="0"/>
          <w:color w:val="151E39"/>
        </w:rPr>
        <w:t xml:space="preserve">Practical Guidance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SMBs may reasonably target </w:t>
      </w:r>
      <w:r>
        <w:rPr>
          <w:rFonts w:ascii="Arial" w:hAnsi="Arial" w:cs="Arial"/>
          <w:sz w:val="29"/>
          <w:sz-cs w:val="29"/>
          <w:b/>
          <w:spacing w:val="0"/>
          <w:color w:val="0E121D"/>
        </w:rPr>
        <w:t xml:space="preserve">Level 3</w:t>
      </w:r>
      <w:r>
        <w:rPr>
          <w:rFonts w:ascii="Arial" w:hAnsi="Arial" w:cs="Arial"/>
          <w:sz w:val="29"/>
          <w:sz-cs w:val="29"/>
          <w:spacing w:val="0"/>
          <w:color w:val="0E121D"/>
        </w:rPr>
        <w:t xml:space="preserve"> in most domains before moving selected high-risk areas to </w:t>
      </w:r>
      <w:r>
        <w:rPr>
          <w:rFonts w:ascii="Arial" w:hAnsi="Arial" w:cs="Arial"/>
          <w:sz w:val="29"/>
          <w:sz-cs w:val="29"/>
          <w:b/>
          <w:spacing w:val="0"/>
          <w:color w:val="0E121D"/>
        </w:rPr>
        <w:t xml:space="preserve">Level 4</w:t>
      </w:r>
      <w:r>
        <w:rPr>
          <w:rFonts w:ascii="Arial" w:hAnsi="Arial" w:cs="Arial"/>
          <w:sz w:val="29"/>
          <w:sz-cs w:val="29"/>
          <w:spacing w:val="0"/>
          <w:color w:val="0E121D"/>
        </w:rPr>
        <w:t xml:space="preserv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Regulated or highly scrutinized organizations often need </w:t>
      </w:r>
      <w:r>
        <w:rPr>
          <w:rFonts w:ascii="Arial" w:hAnsi="Arial" w:cs="Arial"/>
          <w:sz w:val="29"/>
          <w:sz-cs w:val="29"/>
          <w:b/>
          <w:spacing w:val="0"/>
          <w:color w:val="0E121D"/>
        </w:rPr>
        <w:t xml:space="preserve">Level 4</w:t>
      </w:r>
      <w:r>
        <w:rPr>
          <w:rFonts w:ascii="Arial" w:hAnsi="Arial" w:cs="Arial"/>
          <w:sz w:val="29"/>
          <w:sz-cs w:val="29"/>
          <w:spacing w:val="0"/>
          <w:color w:val="0E121D"/>
        </w:rPr>
        <w:t xml:space="preserve"> in governance, risk, access, vulnerability management, incident response, vendor management, and evidence readiness.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Level 5 should be reserved for areas where optimization clearly delivers business or regulatory value.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6. Roadmap Prioritization Questions</w:t>
      </w:r>
    </w:p>
    <w:p>
      <w:pPr>
        <w:spacing w:after="293"/>
      </w:pPr>
      <w:r>
        <w:rPr>
          <w:rFonts w:ascii="Arial" w:hAnsi="Arial" w:cs="Arial"/>
          <w:sz w:val="29"/>
          <w:sz-cs w:val="29"/>
          <w:spacing w:val="0"/>
          <w:color w:val="0E121D"/>
        </w:rPr>
        <w:t xml:space="preserve">When a domain scores below target, ask:</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Is the gap creating material business or regulatory exposure?</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Is the control undocumented, or just inconsistently executed?</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Is the issue primarily people, process, or technology?</w:t>
      </w:r>
    </w:p>
    <w:p>
      <w:pPr>
        <w:ind w:left="720" w:first-line="-720"/>
      </w:pPr>
      <w:r>
        <w:rPr>
          <w:rFonts w:ascii="Arial" w:hAnsi="Arial" w:cs="Arial"/>
          <w:sz w:val="29"/>
          <w:sz-cs w:val="29"/>
          <w:color w:val="0E121D"/>
        </w:rPr>
        <w:t xml:space="preserve"/>
        <w:tab/>
        <w:t xml:space="preserve">4</w:t>
        <w:tab/>
        <w:t xml:space="preserve"/>
      </w:r>
      <w:r>
        <w:rPr>
          <w:rFonts w:ascii="Arial" w:hAnsi="Arial" w:cs="Arial"/>
          <w:sz w:val="29"/>
          <w:sz-cs w:val="29"/>
          <w:spacing w:val="0"/>
          <w:color w:val="0E121D"/>
        </w:rPr>
        <w:t xml:space="preserve">What evidence would be required during an audit or customer review?</w:t>
      </w:r>
    </w:p>
    <w:p>
      <w:pPr>
        <w:ind w:left="720" w:first-line="-720"/>
      </w:pPr>
      <w:r>
        <w:rPr>
          <w:rFonts w:ascii="Arial" w:hAnsi="Arial" w:cs="Arial"/>
          <w:sz w:val="29"/>
          <w:sz-cs w:val="29"/>
          <w:color w:val="0E121D"/>
        </w:rPr>
        <w:t xml:space="preserve"/>
        <w:tab/>
        <w:t xml:space="preserve">5</w:t>
        <w:tab/>
        <w:t xml:space="preserve"/>
      </w:r>
      <w:r>
        <w:rPr>
          <w:rFonts w:ascii="Arial" w:hAnsi="Arial" w:cs="Arial"/>
          <w:sz w:val="29"/>
          <w:sz-cs w:val="29"/>
          <w:spacing w:val="0"/>
          <w:color w:val="0E121D"/>
        </w:rPr>
        <w:t xml:space="preserve">Can the organization improve this domain in phases instead of all at once?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7. Example Target-State Guidance</w:t>
      </w:r>
    </w:p>
    <w:p>
      <w:pPr/>
      <w:r>
        <w:rPr>
          <w:rFonts w:ascii="Arial" w:hAnsi="Arial" w:cs="Arial"/>
          <w:sz w:val="29"/>
          <w:sz-cs w:val="29"/>
          <w:spacing w:val="0"/>
          <w:color w:val="0E121D"/>
        </w:rPr>
        <w:t xml:space="preserve">Domain</w:t>
      </w:r>
    </w:p>
    <w:p>
      <w:pPr/>
      <w:r>
        <w:rPr>
          <w:rFonts w:ascii="Arial" w:hAnsi="Arial" w:cs="Arial"/>
          <w:sz w:val="29"/>
          <w:sz-cs w:val="29"/>
          <w:spacing w:val="0"/>
          <w:color w:val="0E121D"/>
        </w:rPr>
        <w:t xml:space="preserve">Typical SMB Target</w:t>
      </w:r>
    </w:p>
    <w:p>
      <w:pPr/>
      <w:r>
        <w:rPr>
          <w:rFonts w:ascii="Arial" w:hAnsi="Arial" w:cs="Arial"/>
          <w:sz w:val="29"/>
          <w:sz-cs w:val="29"/>
          <w:spacing w:val="0"/>
          <w:color w:val="0E121D"/>
        </w:rPr>
        <w:t xml:space="preserve">Typical Regulated Organization Target</w:t>
      </w:r>
    </w:p>
    <w:p>
      <w:pPr/>
      <w:r>
        <w:rPr>
          <w:rFonts w:ascii="Arial" w:hAnsi="Arial" w:cs="Arial"/>
          <w:sz w:val="29"/>
          <w:sz-cs w:val="29"/>
          <w:spacing w:val="0"/>
          <w:color w:val="0E121D"/>
        </w:rPr>
        <w:t xml:space="preserve">Governance and Accountability</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Risk Assessment and Risk Treatment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Policies, Standards, and Procedures</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Identity and Access Management</w:t>
      </w:r>
    </w:p>
    <w:p>
      <w:pPr/>
      <w:r>
        <w:rPr>
          <w:rFonts w:ascii="Arial" w:hAnsi="Arial" w:cs="Arial"/>
          <w:sz w:val="29"/>
          <w:sz-cs w:val="29"/>
          <w:spacing w:val="0"/>
          <w:color w:val="0E121D"/>
        </w:rPr>
        <w:t xml:space="preserve">3-4</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Vulnerability and Patch Management</w:t>
      </w:r>
    </w:p>
    <w:p>
      <w:pPr/>
      <w:r>
        <w:rPr>
          <w:rFonts w:ascii="Arial" w:hAnsi="Arial" w:cs="Arial"/>
          <w:sz w:val="29"/>
          <w:sz-cs w:val="29"/>
          <w:spacing w:val="0"/>
          <w:color w:val="0E121D"/>
        </w:rPr>
        <w:t xml:space="preserve">3-4</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Logging, Monitoring, and Incident Response</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Vendor and Third-Party Risk Management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Resilience, Backup, and Recovery</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Security Awareness and Workforce Practices</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Audit, Compliance, and Evidence Management</w:t>
      </w:r>
    </w:p>
    <w:p>
      <w:pPr/>
      <w:r>
        <w:rPr>
          <w:rFonts w:ascii="Arial" w:hAnsi="Arial" w:cs="Arial"/>
          <w:sz w:val="29"/>
          <w:sz-cs w:val="29"/>
          <w:spacing w:val="0"/>
          <w:color w:val="0E121D"/>
        </w:rPr>
        <w:t xml:space="preserve">2-3</w:t>
      </w:r>
    </w:p>
    <w:p>
      <w:pPr/>
      <w:r>
        <w:rPr>
          <w:rFonts w:ascii="Arial" w:hAnsi="Arial" w:cs="Arial"/>
          <w:sz w:val="29"/>
          <w:sz-cs w:val="29"/>
          <w:spacing w:val="0"/>
          <w:color w:val="0E121D"/>
        </w:rPr>
        <w:t xml:space="preserve">4</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8. Common Mistakes to Avoid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assuming documented controls are automatically mature controls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setting target maturity unrealistically high across every domain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ignoring evidence and measuring only policy existence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treating maturity as a compliance checkbox instead of an operational capability view</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failing to reassess target maturity after business growth, new customers, or regulation changes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9. Implementation Notes for Secure Cyber Insight</w:t>
      </w:r>
    </w:p>
    <w:p>
      <w:pPr>
        <w:spacing w:after="293"/>
      </w:pPr>
      <w:r>
        <w:rPr>
          <w:rFonts w:ascii="Arial" w:hAnsi="Arial" w:cs="Arial"/>
          <w:sz w:val="29"/>
          <w:sz-cs w:val="29"/>
          <w:spacing w:val="0"/>
          <w:color w:val="0E121D"/>
        </w:rPr>
        <w:t xml:space="preserve">If published as a downloadable resource, consider pairing it with:</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an audit readiness checklist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risk assessment methodology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board reporting scorecard model</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simple remediation roadmap template</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