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Board Cybersecurity Reporting Guide</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This guide helps security, risk, IT, and executive leaders prepare cybersecurity reporting that is clear enough for board oversight and practical enough to support real decision-making.</w:t>
      </w:r>
    </w:p>
    <w:p>
      <w:pPr>
        <w:spacing w:after="354"/>
      </w:pPr>
      <w:r>
        <w:rPr>
          <w:rFonts w:ascii="Georgia" w:hAnsi="Georgia" w:cs="Georgia"/>
          <w:sz w:val="42"/>
          <w:sz-cs w:val="42"/>
          <w:b/>
          <w:spacing w:val="0"/>
          <w:color w:val="151E39"/>
        </w:rPr>
        <w:t xml:space="preserve">Who This Guide Is For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and IT leaders who brief executives or the board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CIOs, CISOs, vCISOs, and risk leaders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Community banks, regulated organizations, and growth-stage companies that need more disciplined cyber reporting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Board members who want meaningful oversight without technical overload</w:t>
      </w:r>
    </w:p>
    <w:p>
      <w:pPr>
        <w:spacing w:after="354"/>
      </w:pPr>
      <w:r>
        <w:rPr>
          <w:rFonts w:ascii="Georgia" w:hAnsi="Georgia" w:cs="Georgia"/>
          <w:sz w:val="42"/>
          <w:sz-cs w:val="42"/>
          <w:b/>
          <w:spacing w:val="0"/>
          <w:color w:val="151E39"/>
        </w:rPr>
        <w:t xml:space="preserve">What Good Board Reporting Should Do</w:t>
      </w:r>
    </w:p>
    <w:p>
      <w:pPr>
        <w:spacing w:after="293"/>
      </w:pPr>
      <w:r>
        <w:rPr>
          <w:rFonts w:ascii="Arial" w:hAnsi="Arial" w:cs="Arial"/>
          <w:sz w:val="29"/>
          <w:sz-cs w:val="29"/>
          <w:spacing w:val="0"/>
          <w:color w:val="0E121D"/>
        </w:rPr>
        <w:t xml:space="preserve">Board reporting should help directors understand: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the organization’s current cyber risk posture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whether the most important risks are increasing, stable, or improving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which issues require leadership decisions, funding, or follow-up</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whether management is handling incidents, control gaps, and third-party risk in a credible way</w:t>
      </w:r>
    </w:p>
    <w:p>
      <w:pPr>
        <w:spacing w:after="293"/>
      </w:pPr>
      <w:r>
        <w:rPr>
          <w:rFonts w:ascii="Arial" w:hAnsi="Arial" w:cs="Arial"/>
          <w:sz w:val="29"/>
          <w:sz-cs w:val="29"/>
          <w:spacing w:val="0"/>
          <w:color w:val="0E121D"/>
        </w:rPr>
        <w:t xml:space="preserve">Good reporting is not a dump of tool output, dashboards, or jargon. It is a concise explanation of risk, trend, business impact, and action.</w:t>
      </w:r>
    </w:p>
    <w:p>
      <w:pPr>
        <w:spacing w:after="354"/>
      </w:pPr>
      <w:r>
        <w:rPr>
          <w:rFonts w:ascii="Georgia" w:hAnsi="Georgia" w:cs="Georgia"/>
          <w:sz w:val="42"/>
          <w:sz-cs w:val="42"/>
          <w:b/>
          <w:spacing w:val="0"/>
          <w:color w:val="151E39"/>
        </w:rPr>
        <w:t xml:space="preserve">Recommended Reporting Structure</w:t>
      </w:r>
    </w:p>
    <w:p>
      <w:pPr>
        <w:spacing w:after="346"/>
      </w:pPr>
      <w:r>
        <w:rPr>
          <w:rFonts w:ascii="Georgia" w:hAnsi="Georgia" w:cs="Georgia"/>
          <w:sz w:val="34"/>
          <w:sz-cs w:val="34"/>
          <w:b/>
          <w:spacing w:val="0"/>
          <w:color w:val="151E39"/>
        </w:rPr>
        <w:t xml:space="preserve">1. Executive Summary</w:t>
      </w:r>
    </w:p>
    <w:p>
      <w:pPr>
        <w:spacing w:after="293"/>
      </w:pPr>
      <w:r>
        <w:rPr>
          <w:rFonts w:ascii="Arial" w:hAnsi="Arial" w:cs="Arial"/>
          <w:sz w:val="29"/>
          <w:sz-cs w:val="29"/>
          <w:spacing w:val="0"/>
          <w:color w:val="0E121D"/>
        </w:rPr>
        <w:t xml:space="preserve">Start with a short narrative summary that answers: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changed since the last board update?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are the top cyber risks right now?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needs board attention, awareness, or approval?</w:t>
      </w:r>
    </w:p>
    <w:p>
      <w:pPr>
        <w:spacing w:after="293"/>
      </w:pPr>
      <w:r>
        <w:rPr>
          <w:rFonts w:ascii="Arial" w:hAnsi="Arial" w:cs="Arial"/>
          <w:sz w:val="29"/>
          <w:sz-cs w:val="29"/>
          <w:b/>
          <w:spacing w:val="0"/>
          <w:color w:val="0E121D"/>
        </w:rPr>
        <w:t xml:space="preserve">Example prompt for the author:</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"In one page or less, explain the current cyber risk picture in plain business language."</w:t>
      </w:r>
    </w:p>
    <w:p>
      <w:pPr>
        <w:spacing w:after="346"/>
      </w:pPr>
      <w:r>
        <w:rPr>
          <w:rFonts w:ascii="Georgia" w:hAnsi="Georgia" w:cs="Georgia"/>
          <w:sz w:val="34"/>
          <w:sz-cs w:val="34"/>
          <w:b/>
          <w:spacing w:val="0"/>
          <w:color w:val="151E39"/>
        </w:rPr>
        <w:t xml:space="preserve">2. Top Risks and Trend Direction</w:t>
      </w:r>
    </w:p>
    <w:p>
      <w:pPr>
        <w:spacing w:after="293"/>
      </w:pPr>
      <w:r>
        <w:rPr>
          <w:rFonts w:ascii="Arial" w:hAnsi="Arial" w:cs="Arial"/>
          <w:sz w:val="29"/>
          <w:sz-cs w:val="29"/>
          <w:spacing w:val="0"/>
          <w:color w:val="0E121D"/>
        </w:rPr>
        <w:t xml:space="preserve">Report the highest-priority risks with trend direction.</w:t>
      </w:r>
    </w:p>
    <w:p>
      <w:pPr/>
      <w:r>
        <w:rPr>
          <w:rFonts w:ascii="Arial" w:hAnsi="Arial" w:cs="Arial"/>
          <w:sz w:val="29"/>
          <w:sz-cs w:val="29"/>
          <w:spacing w:val="0"/>
          <w:color w:val="0E121D"/>
        </w:rPr>
        <w:t xml:space="preserve">Risk Area</w:t>
      </w:r>
    </w:p>
    <w:p>
      <w:pPr/>
      <w:r>
        <w:rPr>
          <w:rFonts w:ascii="Arial" w:hAnsi="Arial" w:cs="Arial"/>
          <w:sz w:val="29"/>
          <w:sz-cs w:val="29"/>
          <w:spacing w:val="0"/>
          <w:color w:val="0E121D"/>
        </w:rPr>
        <w:t xml:space="preserve">Current Status</w:t>
      </w:r>
    </w:p>
    <w:p>
      <w:pPr/>
      <w:r>
        <w:rPr>
          <w:rFonts w:ascii="Arial" w:hAnsi="Arial" w:cs="Arial"/>
          <w:sz w:val="29"/>
          <w:sz-cs w:val="29"/>
          <w:spacing w:val="0"/>
          <w:color w:val="0E121D"/>
        </w:rPr>
        <w:t xml:space="preserve">Trend</w:t>
      </w:r>
    </w:p>
    <w:p>
      <w:pPr/>
      <w:r>
        <w:rPr>
          <w:rFonts w:ascii="Arial" w:hAnsi="Arial" w:cs="Arial"/>
          <w:sz w:val="29"/>
          <w:sz-cs w:val="29"/>
          <w:spacing w:val="0"/>
          <w:color w:val="0E121D"/>
        </w:rPr>
        <w:t xml:space="preserve">Business Impact</w:t>
      </w:r>
    </w:p>
    <w:p>
      <w:pPr/>
      <w:r>
        <w:rPr>
          <w:rFonts w:ascii="Arial" w:hAnsi="Arial" w:cs="Arial"/>
          <w:sz w:val="29"/>
          <w:sz-cs w:val="29"/>
          <w:spacing w:val="0"/>
          <w:color w:val="0E121D"/>
        </w:rPr>
        <w:t xml:space="preserve">Management Response</w:t>
      </w:r>
    </w:p>
    <w:p>
      <w:pPr/>
      <w:r>
        <w:rPr>
          <w:rFonts w:ascii="Arial" w:hAnsi="Arial" w:cs="Arial"/>
          <w:sz w:val="29"/>
          <w:sz-cs w:val="29"/>
          <w:spacing w:val="0"/>
          <w:color w:val="0E121D"/>
        </w:rPr>
        <w:t xml:space="preserve">Ransomware preparedness</w:t>
      </w:r>
    </w:p>
    <w:p>
      <w:pPr/>
      <w:r>
        <w:rPr>
          <w:rFonts w:ascii="Arial" w:hAnsi="Arial" w:cs="Arial"/>
          <w:sz w:val="29"/>
          <w:sz-cs w:val="29"/>
          <w:spacing w:val="0"/>
          <w:color w:val="0E121D"/>
        </w:rPr>
        <w:t xml:space="preserve">Moderate concern</w:t>
      </w:r>
    </w:p>
    <w:p>
      <w:pPr/>
      <w:r>
        <w:rPr>
          <w:rFonts w:ascii="Arial" w:hAnsi="Arial" w:cs="Arial"/>
          <w:sz w:val="29"/>
          <w:sz-cs w:val="29"/>
          <w:spacing w:val="0"/>
          <w:color w:val="0E121D"/>
        </w:rPr>
        <w:t xml:space="preserve">Stable</w:t>
      </w:r>
    </w:p>
    <w:p>
      <w:pPr/>
      <w:r>
        <w:rPr>
          <w:rFonts w:ascii="Arial" w:hAnsi="Arial" w:cs="Arial"/>
          <w:sz w:val="29"/>
          <w:sz-cs w:val="29"/>
          <w:spacing w:val="0"/>
          <w:color w:val="0E121D"/>
        </w:rPr>
        <w:t xml:space="preserve">Could disrupt operations and customer service</w:t>
      </w:r>
    </w:p>
    <w:p>
      <w:pPr/>
      <w:r>
        <w:rPr>
          <w:rFonts w:ascii="Arial" w:hAnsi="Arial" w:cs="Arial"/>
          <w:sz w:val="29"/>
          <w:sz-cs w:val="29"/>
          <w:spacing w:val="0"/>
          <w:color w:val="0E121D"/>
        </w:rPr>
        <w:t xml:space="preserve">Backup testing improved; segmentation work still in progress</w:t>
      </w:r>
    </w:p>
    <w:p>
      <w:pPr/>
      <w:r>
        <w:rPr>
          <w:rFonts w:ascii="Arial" w:hAnsi="Arial" w:cs="Arial"/>
          <w:sz w:val="29"/>
          <w:sz-cs w:val="29"/>
          <w:spacing w:val="0"/>
          <w:color w:val="0E121D"/>
        </w:rPr>
        <w:t xml:space="preserve">Third-party / vendor risk</w:t>
      </w:r>
    </w:p>
    <w:p>
      <w:pPr/>
      <w:r>
        <w:rPr>
          <w:rFonts w:ascii="Arial" w:hAnsi="Arial" w:cs="Arial"/>
          <w:sz w:val="29"/>
          <w:sz-cs w:val="29"/>
          <w:spacing w:val="0"/>
          <w:color w:val="0E121D"/>
        </w:rPr>
        <w:t xml:space="preserve">Elevated concern</w:t>
      </w:r>
    </w:p>
    <w:p>
      <w:pPr/>
      <w:r>
        <w:rPr>
          <w:rFonts w:ascii="Arial" w:hAnsi="Arial" w:cs="Arial"/>
          <w:sz w:val="29"/>
          <w:sz-cs w:val="29"/>
          <w:spacing w:val="0"/>
          <w:color w:val="0E121D"/>
        </w:rPr>
        <w:t xml:space="preserve">Increasing</w:t>
      </w:r>
    </w:p>
    <w:p>
      <w:pPr/>
      <w:r>
        <w:rPr>
          <w:rFonts w:ascii="Arial" w:hAnsi="Arial" w:cs="Arial"/>
          <w:sz w:val="29"/>
          <w:sz-cs w:val="29"/>
          <w:spacing w:val="0"/>
          <w:color w:val="0E121D"/>
        </w:rPr>
        <w:t xml:space="preserve">Critical vendors create concentration and resilience exposure</w:t>
      </w:r>
    </w:p>
    <w:p>
      <w:pPr/>
      <w:r>
        <w:rPr>
          <w:rFonts w:ascii="Arial" w:hAnsi="Arial" w:cs="Arial"/>
          <w:sz w:val="29"/>
          <w:sz-cs w:val="29"/>
          <w:spacing w:val="0"/>
          <w:color w:val="0E121D"/>
        </w:rPr>
        <w:t xml:space="preserve">Vendor tiering refresh underway</w:t>
      </w:r>
    </w:p>
    <w:p>
      <w:pPr/>
      <w:r>
        <w:rPr>
          <w:rFonts w:ascii="Arial" w:hAnsi="Arial" w:cs="Arial"/>
          <w:sz w:val="29"/>
          <w:sz-cs w:val="29"/>
          <w:spacing w:val="0"/>
          <w:color w:val="0E121D"/>
        </w:rPr>
        <w:t xml:space="preserve">Vulnerability remediation backlog</w:t>
      </w:r>
    </w:p>
    <w:p>
      <w:pPr/>
      <w:r>
        <w:rPr>
          <w:rFonts w:ascii="Arial" w:hAnsi="Arial" w:cs="Arial"/>
          <w:sz w:val="29"/>
          <w:sz-cs w:val="29"/>
          <w:spacing w:val="0"/>
          <w:color w:val="0E121D"/>
        </w:rPr>
        <w:t xml:space="preserve">Elevated concern</w:t>
      </w:r>
    </w:p>
    <w:p>
      <w:pPr/>
      <w:r>
        <w:rPr>
          <w:rFonts w:ascii="Arial" w:hAnsi="Arial" w:cs="Arial"/>
          <w:sz w:val="29"/>
          <w:sz-cs w:val="29"/>
          <w:spacing w:val="0"/>
          <w:color w:val="0E121D"/>
        </w:rPr>
        <w:t xml:space="preserve">Improving</w:t>
      </w:r>
    </w:p>
    <w:p>
      <w:pPr/>
      <w:r>
        <w:rPr>
          <w:rFonts w:ascii="Arial" w:hAnsi="Arial" w:cs="Arial"/>
          <w:sz w:val="29"/>
          <w:sz-cs w:val="29"/>
          <w:spacing w:val="0"/>
          <w:color w:val="0E121D"/>
        </w:rPr>
        <w:t xml:space="preserve">Delayed patching could increase exploit exposure</w:t>
      </w:r>
    </w:p>
    <w:p>
      <w:pPr/>
      <w:r>
        <w:rPr>
          <w:rFonts w:ascii="Arial" w:hAnsi="Arial" w:cs="Arial"/>
          <w:sz w:val="29"/>
          <w:sz-cs w:val="29"/>
          <w:spacing w:val="0"/>
          <w:color w:val="0E121D"/>
        </w:rPr>
        <w:t xml:space="preserve">Weekly remediation review implemented</w:t>
      </w:r>
    </w:p>
    <w:p>
      <w:pPr>
        <w:spacing w:after="293"/>
      </w:pPr>
      <w:r>
        <w:rPr>
          <w:rFonts w:ascii="Arial" w:hAnsi="Arial" w:cs="Arial"/>
          <w:sz w:val="29"/>
          <w:sz-cs w:val="29"/>
          <w:spacing w:val="0"/>
          <w:color w:val="0E121D"/>
        </w:rPr>
        <w:t xml:space="preserve">Use a limited number of top risks. Five is usually better than fifteen.</w:t>
      </w:r>
    </w:p>
    <w:p>
      <w:pPr>
        <w:spacing w:after="346"/>
      </w:pPr>
      <w:r>
        <w:rPr>
          <w:rFonts w:ascii="Georgia" w:hAnsi="Georgia" w:cs="Georgia"/>
          <w:sz w:val="34"/>
          <w:sz-cs w:val="34"/>
          <w:b/>
          <w:spacing w:val="0"/>
          <w:color w:val="151E39"/>
        </w:rPr>
        <w:t xml:space="preserve">3. KPI / KRI Snapshot</w:t>
      </w:r>
    </w:p>
    <w:p>
      <w:pPr>
        <w:spacing w:after="293"/>
      </w:pPr>
      <w:r>
        <w:rPr>
          <w:rFonts w:ascii="Arial" w:hAnsi="Arial" w:cs="Arial"/>
          <w:sz w:val="29"/>
          <w:sz-cs w:val="29"/>
          <w:spacing w:val="0"/>
          <w:color w:val="0E121D"/>
        </w:rPr>
        <w:t xml:space="preserve">Include a small set of metrics that show trend, not just point-in-time volume.</w:t>
      </w:r>
    </w:p>
    <w:p>
      <w:pPr>
        <w:spacing w:after="293"/>
      </w:pPr>
      <w:r>
        <w:rPr>
          <w:rFonts w:ascii="Arial" w:hAnsi="Arial" w:cs="Arial"/>
          <w:sz w:val="29"/>
          <w:sz-cs w:val="29"/>
          <w:b/>
          <w:spacing w:val="0"/>
          <w:color w:val="0E121D"/>
        </w:rPr>
        <w:t xml:space="preserve">Useful reporting categories:</w:t>
      </w:r>
      <w:r>
        <w:rPr>
          <w:rFonts w:ascii="Arial" w:hAnsi="Arial" w:cs="Arial"/>
          <w:sz w:val="29"/>
          <w:sz-cs w:val="29"/>
          <w:spacing w:val="0"/>
          <w:color w:val="0E121D"/>
        </w:rPr>
        <w:t xml:space="preserve"/>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Critical vulnerability aging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Multi-factor authentication coverage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Phishing reporting or awareness trend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Third-party review completion for critical vendors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volume by severity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Backup and recovery test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Open high-risk findings past due</w:t>
      </w:r>
    </w:p>
    <w:p>
      <w:pPr>
        <w:spacing w:after="293"/>
      </w:pPr>
      <w:r>
        <w:rPr>
          <w:rFonts w:ascii="Arial" w:hAnsi="Arial" w:cs="Arial"/>
          <w:sz w:val="29"/>
          <w:sz-cs w:val="29"/>
          <w:b/>
          <w:spacing w:val="0"/>
          <w:color w:val="0E121D"/>
        </w:rPr>
        <w:t xml:space="preserve">Tip:</w:t>
      </w:r>
      <w:r>
        <w:rPr>
          <w:rFonts w:ascii="Arial" w:hAnsi="Arial" w:cs="Arial"/>
          <w:sz w:val="29"/>
          <w:sz-cs w:val="29"/>
          <w:spacing w:val="0"/>
          <w:color w:val="0E121D"/>
        </w:rPr>
        <w:t xml:space="preserve"> Explain why each metric matters. Metrics without context rarely help directors govern.</w:t>
      </w:r>
    </w:p>
    <w:p>
      <w:pPr>
        <w:spacing w:after="346"/>
      </w:pPr>
      <w:r>
        <w:rPr>
          <w:rFonts w:ascii="Georgia" w:hAnsi="Georgia" w:cs="Georgia"/>
          <w:sz w:val="34"/>
          <w:sz-cs w:val="34"/>
          <w:b/>
          <w:spacing w:val="0"/>
          <w:color w:val="151E39"/>
        </w:rPr>
        <w:t xml:space="preserve">4. Incident and Event Summary</w:t>
      </w:r>
    </w:p>
    <w:p>
      <w:pPr>
        <w:spacing w:after="293"/>
      </w:pPr>
      <w:r>
        <w:rPr>
          <w:rFonts w:ascii="Arial" w:hAnsi="Arial" w:cs="Arial"/>
          <w:sz w:val="29"/>
          <w:sz-cs w:val="29"/>
          <w:spacing w:val="0"/>
          <w:color w:val="0E121D"/>
        </w:rPr>
        <w:t xml:space="preserve">Summarize material incidents, near misses, or notable control failures since the last meeting.</w:t>
      </w:r>
    </w:p>
    <w:p>
      <w:pPr>
        <w:spacing w:after="293"/>
      </w:pPr>
      <w:r>
        <w:rPr>
          <w:rFonts w:ascii="Arial" w:hAnsi="Arial" w:cs="Arial"/>
          <w:sz w:val="29"/>
          <w:sz-cs w:val="29"/>
          <w:spacing w:val="0"/>
          <w:color w:val="0E121D"/>
        </w:rPr>
        <w:t xml:space="preserve">Include: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happened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business impact occurred or was avoided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current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lessons learned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whether management needs board support</w:t>
      </w:r>
    </w:p>
    <w:p>
      <w:pPr>
        <w:spacing w:after="293"/>
      </w:pPr>
      <w:r>
        <w:rPr>
          <w:rFonts w:ascii="Arial" w:hAnsi="Arial" w:cs="Arial"/>
          <w:sz w:val="29"/>
          <w:sz-cs w:val="29"/>
          <w:spacing w:val="0"/>
          <w:color w:val="0E121D"/>
        </w:rPr>
        <w:t xml:space="preserve">Avoid overloading the board with low-level operational noise.</w:t>
      </w:r>
    </w:p>
    <w:p>
      <w:pPr>
        <w:spacing w:after="346"/>
      </w:pPr>
      <w:r>
        <w:rPr>
          <w:rFonts w:ascii="Georgia" w:hAnsi="Georgia" w:cs="Georgia"/>
          <w:sz w:val="34"/>
          <w:sz-cs w:val="34"/>
          <w:b/>
          <w:spacing w:val="0"/>
          <w:color w:val="151E39"/>
        </w:rPr>
        <w:t xml:space="preserve">5. Program Progress Against Priorities</w:t>
      </w:r>
    </w:p>
    <w:p>
      <w:pPr>
        <w:spacing w:after="293"/>
      </w:pPr>
      <w:r>
        <w:rPr>
          <w:rFonts w:ascii="Arial" w:hAnsi="Arial" w:cs="Arial"/>
          <w:sz w:val="29"/>
          <w:sz-cs w:val="29"/>
          <w:spacing w:val="0"/>
          <w:color w:val="0E121D"/>
        </w:rPr>
        <w:t xml:space="preserve">Show progress against planned cybersecurity initiatives.</w:t>
      </w:r>
    </w:p>
    <w:p>
      <w:pPr/>
      <w:r>
        <w:rPr>
          <w:rFonts w:ascii="Arial" w:hAnsi="Arial" w:cs="Arial"/>
          <w:sz w:val="29"/>
          <w:sz-cs w:val="29"/>
          <w:spacing w:val="0"/>
          <w:color w:val="0E121D"/>
        </w:rPr>
        <w:t xml:space="preserve">Priority Initiative</w:t>
      </w:r>
    </w:p>
    <w:p>
      <w:pPr/>
      <w:r>
        <w:rPr>
          <w:rFonts w:ascii="Arial" w:hAnsi="Arial" w:cs="Arial"/>
          <w:sz w:val="29"/>
          <w:sz-cs w:val="29"/>
          <w:spacing w:val="0"/>
          <w:color w:val="0E121D"/>
        </w:rPr>
        <w:t xml:space="preserve">Status</w:t>
      </w:r>
    </w:p>
    <w:p>
      <w:pPr/>
      <w:r>
        <w:rPr>
          <w:rFonts w:ascii="Arial" w:hAnsi="Arial" w:cs="Arial"/>
          <w:sz w:val="29"/>
          <w:sz-cs w:val="29"/>
          <w:spacing w:val="0"/>
          <w:color w:val="0E121D"/>
        </w:rPr>
        <w:t xml:space="preserve">Notes</w:t>
      </w:r>
    </w:p>
    <w:p>
      <w:pPr/>
      <w:r>
        <w:rPr>
          <w:rFonts w:ascii="Arial" w:hAnsi="Arial" w:cs="Arial"/>
          <w:sz w:val="29"/>
          <w:sz-cs w:val="29"/>
          <w:spacing w:val="0"/>
          <w:color w:val="0E121D"/>
        </w:rPr>
        <w:t xml:space="preserve">Access review maturity</w:t>
      </w:r>
    </w:p>
    <w:p>
      <w:pPr/>
      <w:r>
        <w:rPr>
          <w:rFonts w:ascii="Arial" w:hAnsi="Arial" w:cs="Arial"/>
          <w:sz w:val="29"/>
          <w:sz-cs w:val="29"/>
          <w:spacing w:val="0"/>
          <w:color w:val="0E121D"/>
        </w:rPr>
        <w:t xml:space="preserve">On track</w:t>
      </w:r>
    </w:p>
    <w:p>
      <w:pPr/>
      <w:r>
        <w:rPr>
          <w:rFonts w:ascii="Arial" w:hAnsi="Arial" w:cs="Arial"/>
          <w:sz w:val="29"/>
          <w:sz-cs w:val="29"/>
          <w:spacing w:val="0"/>
          <w:color w:val="0E121D"/>
        </w:rPr>
        <w:t xml:space="preserve">Quarterly review process documented and running</w:t>
      </w:r>
    </w:p>
    <w:p>
      <w:pPr/>
      <w:r>
        <w:rPr>
          <w:rFonts w:ascii="Arial" w:hAnsi="Arial" w:cs="Arial"/>
          <w:sz w:val="29"/>
          <w:sz-cs w:val="29"/>
          <w:spacing w:val="0"/>
          <w:color w:val="0E121D"/>
        </w:rPr>
        <w:t xml:space="preserve">Vendor risk program formalization</w:t>
      </w:r>
    </w:p>
    <w:p>
      <w:pPr/>
      <w:r>
        <w:rPr>
          <w:rFonts w:ascii="Arial" w:hAnsi="Arial" w:cs="Arial"/>
          <w:sz w:val="29"/>
          <w:sz-cs w:val="29"/>
          <w:spacing w:val="0"/>
          <w:color w:val="0E121D"/>
        </w:rPr>
        <w:t xml:space="preserve">In progress</w:t>
      </w:r>
    </w:p>
    <w:p>
      <w:pPr/>
      <w:r>
        <w:rPr>
          <w:rFonts w:ascii="Arial" w:hAnsi="Arial" w:cs="Arial"/>
          <w:sz w:val="29"/>
          <w:sz-cs w:val="29"/>
          <w:spacing w:val="0"/>
          <w:color w:val="0E121D"/>
        </w:rPr>
        <w:t xml:space="preserve">Critical vendor inventory nearly complete</w:t>
      </w:r>
    </w:p>
    <w:p>
      <w:pPr/>
      <w:r>
        <w:rPr>
          <w:rFonts w:ascii="Arial" w:hAnsi="Arial" w:cs="Arial"/>
          <w:sz w:val="29"/>
          <w:sz-cs w:val="29"/>
          <w:spacing w:val="0"/>
          <w:color w:val="0E121D"/>
        </w:rPr>
        <w:t xml:space="preserve">Incident response exercise cadence</w:t>
      </w:r>
    </w:p>
    <w:p>
      <w:pPr/>
      <w:r>
        <w:rPr>
          <w:rFonts w:ascii="Arial" w:hAnsi="Arial" w:cs="Arial"/>
          <w:sz w:val="29"/>
          <w:sz-cs w:val="29"/>
          <w:spacing w:val="0"/>
          <w:color w:val="0E121D"/>
        </w:rPr>
        <w:t xml:space="preserve">Behind plan</w:t>
      </w:r>
    </w:p>
    <w:p>
      <w:pPr/>
      <w:r>
        <w:rPr>
          <w:rFonts w:ascii="Arial" w:hAnsi="Arial" w:cs="Arial"/>
          <w:sz w:val="29"/>
          <w:sz-cs w:val="29"/>
          <w:spacing w:val="0"/>
          <w:color w:val="0E121D"/>
        </w:rPr>
        <w:t xml:space="preserve">Tabletop rescheduled to next quarter</w:t>
      </w:r>
    </w:p>
    <w:p>
      <w:pPr>
        <w:spacing w:after="293"/>
      </w:pPr>
      <w:r>
        <w:rPr>
          <w:rFonts w:ascii="Arial" w:hAnsi="Arial" w:cs="Arial"/>
          <w:sz w:val="29"/>
          <w:sz-cs w:val="29"/>
          <w:spacing w:val="0"/>
          <w:color w:val="0E121D"/>
        </w:rPr>
        <w:t xml:space="preserve">This section helps the board see whether management is executing, not just reacting.</w:t>
      </w:r>
    </w:p>
    <w:p>
      <w:pPr>
        <w:spacing w:after="346"/>
      </w:pPr>
      <w:r>
        <w:rPr>
          <w:rFonts w:ascii="Georgia" w:hAnsi="Georgia" w:cs="Georgia"/>
          <w:sz w:val="34"/>
          <w:sz-cs w:val="34"/>
          <w:b/>
          <w:spacing w:val="0"/>
          <w:color w:val="151E39"/>
        </w:rPr>
        <w:t xml:space="preserve">6. Open Decisions or Escalations</w:t>
      </w:r>
    </w:p>
    <w:p>
      <w:pPr>
        <w:spacing w:after="293"/>
      </w:pPr>
      <w:r>
        <w:rPr>
          <w:rFonts w:ascii="Arial" w:hAnsi="Arial" w:cs="Arial"/>
          <w:sz w:val="29"/>
          <w:sz-cs w:val="29"/>
          <w:spacing w:val="0"/>
          <w:color w:val="0E121D"/>
        </w:rPr>
        <w:t xml:space="preserve">Clearly flag where board visibility or support matters.</w:t>
      </w:r>
    </w:p>
    <w:p>
      <w:pPr>
        <w:spacing w:after="293"/>
      </w:pPr>
      <w:r>
        <w:rPr>
          <w:rFonts w:ascii="Arial" w:hAnsi="Arial" w:cs="Arial"/>
          <w:sz w:val="29"/>
          <w:sz-cs w:val="29"/>
          <w:spacing w:val="0"/>
          <w:color w:val="0E121D"/>
        </w:rPr>
        <w:t xml:space="preserve">Examples: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funding needed for a control gap</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acceptance of residual risk after reviewing options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timeline implications from delayed remediation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major third-party dependency concerns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compliance or exam preparation issues requiring executive sponsorship</w:t>
      </w:r>
    </w:p>
    <w:p>
      <w:pPr>
        <w:spacing w:after="354"/>
      </w:pPr>
      <w:r>
        <w:rPr>
          <w:rFonts w:ascii="Georgia" w:hAnsi="Georgia" w:cs="Georgia"/>
          <w:sz w:val="42"/>
          <w:sz-cs w:val="42"/>
          <w:b/>
          <w:spacing w:val="0"/>
          <w:color w:val="151E39"/>
        </w:rPr>
        <w:t xml:space="preserve">What Boards Usually Want to Know</w:t>
      </w:r>
    </w:p>
    <w:p>
      <w:pPr>
        <w:spacing w:after="293"/>
      </w:pPr>
      <w:r>
        <w:rPr>
          <w:rFonts w:ascii="Arial" w:hAnsi="Arial" w:cs="Arial"/>
          <w:sz w:val="29"/>
          <w:sz-cs w:val="29"/>
          <w:spacing w:val="0"/>
          <w:color w:val="0E121D"/>
        </w:rPr>
        <w:t xml:space="preserve">Boards often ask versions of these questions: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Are we getting safer, or are our risks growing?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are our biggest cybersecurity exposures right now?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Which issues could materially affect operations, customers, or reputation?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Are third parties introducing risk we do not fully understand?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Are we prepared to respond and recover from a serious incident?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Where is management confident, and where are the weak spots?</w:t>
      </w:r>
    </w:p>
    <w:p>
      <w:pPr>
        <w:spacing w:after="293"/>
      </w:pPr>
      <w:r>
        <w:rPr>
          <w:rFonts w:ascii="Arial" w:hAnsi="Arial" w:cs="Arial"/>
          <w:sz w:val="29"/>
          <w:sz-cs w:val="29"/>
          <w:spacing w:val="0"/>
          <w:color w:val="0E121D"/>
        </w:rPr>
        <w:t xml:space="preserve">Use your reporting package to answer these questions before they are asked.</w:t>
      </w:r>
    </w:p>
    <w:p>
      <w:pPr>
        <w:spacing w:after="354"/>
      </w:pPr>
      <w:r>
        <w:rPr>
          <w:rFonts w:ascii="Georgia" w:hAnsi="Georgia" w:cs="Georgia"/>
          <w:sz w:val="42"/>
          <w:sz-cs w:val="42"/>
          <w:b/>
          <w:spacing w:val="0"/>
          <w:color w:val="151E39"/>
        </w:rPr>
        <w:t xml:space="preserve">Common Reporting Mistakes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Presenting raw technical data without business context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Using too many metrics with no trend interpretation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Hiding uncertainty or open issues behind green dashboards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Reporting activity instead of risk reduction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Failing to connect cyber issues to operations, finances, customers, or regulatory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Giving the board no clear action or decision path</w:t>
      </w:r>
    </w:p>
    <w:p>
      <w:pPr>
        <w:spacing w:after="354"/>
      </w:pPr>
      <w:r>
        <w:rPr>
          <w:rFonts w:ascii="Georgia" w:hAnsi="Georgia" w:cs="Georgia"/>
          <w:sz w:val="42"/>
          <w:sz-cs w:val="42"/>
          <w:b/>
          <w:spacing w:val="0"/>
          <w:color w:val="151E39"/>
        </w:rPr>
        <w:t xml:space="preserve">Suggested Monthly or Quarterly Board Packet Outline</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Executive summary</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Top risks and changes since last report</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KPI / KRI scorecard</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Material incidents and lessons learned</w:t>
      </w:r>
    </w:p>
    <w:p>
      <w:pPr>
        <w:ind w:left="720" w:first-line="-720"/>
      </w:pPr>
      <w:r>
        <w:rPr>
          <w:rFonts w:ascii="Arial" w:hAnsi="Arial" w:cs="Arial"/>
          <w:sz w:val="29"/>
          <w:sz-cs w:val="29"/>
          <w:color w:val="0E121D"/>
        </w:rPr>
        <w:t xml:space="preserve"/>
        <w:tab/>
        <w:t xml:space="preserve">5</w:t>
        <w:tab/>
        <w:t xml:space="preserve"/>
      </w:r>
      <w:r>
        <w:rPr>
          <w:rFonts w:ascii="Arial" w:hAnsi="Arial" w:cs="Arial"/>
          <w:sz w:val="29"/>
          <w:sz-cs w:val="29"/>
          <w:spacing w:val="0"/>
          <w:color w:val="0E121D"/>
        </w:rPr>
        <w:t xml:space="preserve">Program initiative progress</w:t>
      </w:r>
    </w:p>
    <w:p>
      <w:pPr>
        <w:ind w:left="720" w:first-line="-720"/>
      </w:pPr>
      <w:r>
        <w:rPr>
          <w:rFonts w:ascii="Arial" w:hAnsi="Arial" w:cs="Arial"/>
          <w:sz w:val="29"/>
          <w:sz-cs w:val="29"/>
          <w:color w:val="0E121D"/>
        </w:rPr>
        <w:t xml:space="preserve"/>
        <w:tab/>
        <w:t xml:space="preserve">6</w:t>
        <w:tab/>
        <w:t xml:space="preserve"/>
      </w:r>
      <w:r>
        <w:rPr>
          <w:rFonts w:ascii="Arial" w:hAnsi="Arial" w:cs="Arial"/>
          <w:sz w:val="29"/>
          <w:sz-cs w:val="29"/>
          <w:spacing w:val="0"/>
          <w:color w:val="0E121D"/>
        </w:rPr>
        <w:t xml:space="preserve">Third-party and compliance highlights</w:t>
      </w:r>
    </w:p>
    <w:p>
      <w:pPr>
        <w:ind w:left="720" w:first-line="-720"/>
      </w:pPr>
      <w:r>
        <w:rPr>
          <w:rFonts w:ascii="Arial" w:hAnsi="Arial" w:cs="Arial"/>
          <w:sz w:val="29"/>
          <w:sz-cs w:val="29"/>
          <w:color w:val="0E121D"/>
        </w:rPr>
        <w:t xml:space="preserve"/>
        <w:tab/>
        <w:t xml:space="preserve">7</w:t>
        <w:tab/>
        <w:t xml:space="preserve"/>
      </w:r>
      <w:r>
        <w:rPr>
          <w:rFonts w:ascii="Arial" w:hAnsi="Arial" w:cs="Arial"/>
          <w:sz w:val="29"/>
          <w:sz-cs w:val="29"/>
          <w:spacing w:val="0"/>
          <w:color w:val="0E121D"/>
        </w:rPr>
        <w:t xml:space="preserve">Decisions, approvals, or awareness items</w:t>
      </w:r>
    </w:p>
    <w:p>
      <w:pPr>
        <w:spacing w:after="354"/>
      </w:pPr>
      <w:r>
        <w:rPr>
          <w:rFonts w:ascii="Georgia" w:hAnsi="Georgia" w:cs="Georgia"/>
          <w:sz w:val="42"/>
          <w:sz-cs w:val="42"/>
          <w:b/>
          <w:spacing w:val="0"/>
          <w:color w:val="151E39"/>
        </w:rPr>
        <w:t xml:space="preserve">Sample Board Reporting Checklist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Reporting period is clearly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Top risks are limited, prioritized, and trend-based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Metrics include narrative context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Material incidents are summarized in business language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Open high-risk gaps are disclosed honestly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Third-party and resilience issues are addressed where relevant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Required decisions or escalations are clearly stated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Terminology is consistent with prior reporting and governance documents</w:t>
      </w:r>
    </w:p>
    <w:p>
      <w:pPr>
        <w:spacing w:after="354"/>
      </w:pPr>
      <w:r>
        <w:rPr>
          <w:rFonts w:ascii="Georgia" w:hAnsi="Georgia" w:cs="Georgia"/>
          <w:sz w:val="42"/>
          <w:sz-cs w:val="42"/>
          <w:b/>
          <w:spacing w:val="0"/>
          <w:color w:val="151E39"/>
        </w:rPr>
        <w:t xml:space="preserve">Adapting This Guide</w:t>
      </w:r>
    </w:p>
    <w:p>
      <w:pPr>
        <w:spacing w:after="293"/>
      </w:pPr>
      <w:r>
        <w:rPr>
          <w:rFonts w:ascii="Arial" w:hAnsi="Arial" w:cs="Arial"/>
          <w:sz w:val="29"/>
          <w:sz-cs w:val="29"/>
          <w:spacing w:val="0"/>
          <w:color w:val="0E121D"/>
        </w:rPr>
        <w:t xml:space="preserve">Organizations should tailor this guide based 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board maturity and preferred reporting style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industry and regulatory obligations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whether reporting goes to a board, audit committee, risk committee, or executive team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the size and maturity of the cybersecurity program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what qualifies as a material incident or significant trend</w:t>
      </w:r>
    </w:p>
    <w:p>
      <w:pPr>
        <w:spacing w:after="354"/>
      </w:pPr>
      <w:r>
        <w:rPr>
          <w:rFonts w:ascii="Georgia" w:hAnsi="Georgia" w:cs="Georgia"/>
          <w:sz w:val="42"/>
          <w:sz-cs w:val="42"/>
          <w:b/>
          <w:spacing w:val="0"/>
          <w:color w:val="151E39"/>
        </w:rPr>
        <w:t xml:space="preserve">Recommended Companion Resources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Board reporting KPI / KRI scorecard model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register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criticality scoring model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Audit readiness checklist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 plan sample</w:t>
      </w:r>
    </w:p>
    <w:p>
      <w:pPr>
        <w:spacing w:after="354"/>
      </w:pPr>
      <w:r>
        <w:rPr>
          <w:rFonts w:ascii="Georgia" w:hAnsi="Georgia" w:cs="Georgia"/>
          <w:sz w:val="42"/>
          <w:sz-cs w:val="42"/>
          <w:b/>
          <w:spacing w:val="0"/>
          <w:color w:val="151E39"/>
        </w:rPr>
        <w:t xml:space="preserve">Metadata Draft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Working asset title:</w:t>
      </w:r>
      <w:r>
        <w:rPr>
          <w:rFonts w:ascii="Arial" w:hAnsi="Arial" w:cs="Arial"/>
          <w:sz w:val="29"/>
          <w:sz-cs w:val="29"/>
          <w:spacing w:val="0"/>
          <w:color w:val="0E121D"/>
        </w:rPr>
        <w:t xml:space="preserve"> Board Cybersecurity Reporting Guide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Suggested format for download page:</w:t>
      </w:r>
      <w:r>
        <w:rPr>
          <w:rFonts w:ascii="Arial" w:hAnsi="Arial" w:cs="Arial"/>
          <w:sz w:val="29"/>
          <w:sz-cs w:val="29"/>
          <w:spacing w:val="0"/>
          <w:color w:val="0E121D"/>
        </w:rPr>
        <w:t xml:space="preserve"> PDF and Word</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Primary CTA:</w:t>
      </w:r>
      <w:r>
        <w:rPr>
          <w:rFonts w:ascii="Arial" w:hAnsi="Arial" w:cs="Arial"/>
          <w:sz w:val="29"/>
          <w:sz-cs w:val="29"/>
          <w:spacing w:val="0"/>
          <w:color w:val="0E121D"/>
        </w:rPr>
        <w:t xml:space="preserve"> Download the guide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Secondary CTA:</w:t>
      </w:r>
      <w:r>
        <w:rPr>
          <w:rFonts w:ascii="Arial" w:hAnsi="Arial" w:cs="Arial"/>
          <w:sz w:val="29"/>
          <w:sz-cs w:val="29"/>
          <w:spacing w:val="0"/>
          <w:color w:val="0E121D"/>
        </w:rPr>
        <w:t xml:space="preserve"> Talk to Hill &amp; Hill Consulting about board-ready cyber reporting</w:t>
      </w:r>
    </w:p>
    <w:p>
      <w:pPr>
        <w:spacing w:after="354"/>
      </w:pPr>
      <w:r>
        <w:rPr>
          <w:rFonts w:ascii="Georgia" w:hAnsi="Georgia" w:cs="Georgia"/>
          <w:sz w:val="42"/>
          <w:sz-cs w:val="42"/>
          <w:b/>
          <w:spacing w:val="0"/>
          <w:color w:val="151E39"/>
        </w:rPr>
        <w:t xml:space="preserve">Reminder Item Covered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Lead magnet: Board Cybersecurity Reporting Guide (PDF/Word)</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