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0ABF3" w14:textId="77777777" w:rsidR="00A71822" w:rsidRDefault="00A71822">
      <w:pPr>
        <w:spacing w:after="180"/>
      </w:pPr>
    </w:p>
    <w:p w14:paraId="4AFBBEAB" w14:textId="0C0998F4" w:rsidR="00A71822" w:rsidRDefault="00000000">
      <w:pPr>
        <w:spacing w:after="200"/>
        <w:jc w:val="center"/>
      </w:pPr>
      <w:r>
        <w:rPr>
          <w:rFonts w:ascii="Helvetica" w:hAnsi="Helvetica" w:cs="Helvetica"/>
          <w:b/>
          <w:color w:val="1A3A5C"/>
          <w:sz w:val="34"/>
        </w:rPr>
        <w:t xml:space="preserve">Template </w:t>
      </w:r>
      <w:r w:rsidR="00372923">
        <w:rPr>
          <w:rFonts w:ascii="Helvetica" w:hAnsi="Helvetica" w:cs="Helvetica"/>
          <w:b/>
          <w:color w:val="1A3A5C"/>
          <w:sz w:val="34"/>
        </w:rPr>
        <w:t xml:space="preserve">Document </w:t>
      </w:r>
      <w:r>
        <w:rPr>
          <w:rFonts w:ascii="Helvetica" w:hAnsi="Helvetica" w:cs="Helvetica"/>
          <w:b/>
          <w:color w:val="1A3A5C"/>
          <w:sz w:val="34"/>
        </w:rPr>
        <w:t>Disclaimer</w:t>
      </w:r>
    </w:p>
    <w:p w14:paraId="36CE832F" w14:textId="673D785E" w:rsidR="00A71822" w:rsidRDefault="00000000">
      <w:pPr>
        <w:spacing w:after="180"/>
      </w:pPr>
      <w:r>
        <w:rPr>
          <w:rFonts w:ascii="Arial" w:hAnsi="Arial" w:cs="Arial"/>
          <w:b/>
          <w:color w:val="0D1B2A"/>
        </w:rPr>
        <w:t>Bottom line:</w:t>
      </w:r>
      <w:r w:rsidR="00372923">
        <w:rPr>
          <w:rFonts w:ascii="Arial" w:hAnsi="Arial" w:cs="Arial"/>
          <w:b/>
          <w:color w:val="0D1B2A"/>
        </w:rPr>
        <w:t xml:space="preserve"> </w:t>
      </w:r>
      <w:r>
        <w:rPr>
          <w:rFonts w:ascii="Arial" w:hAnsi="Arial" w:cs="Arial"/>
          <w:color w:val="0D1B2A"/>
        </w:rPr>
        <w:t>This document is a starting-point template only. It must be reviewed, customized, and formally approved before use.</w:t>
      </w:r>
    </w:p>
    <w:p w14:paraId="2B8B6C7B" w14:textId="77777777" w:rsidR="00A71822" w:rsidRDefault="00000000">
      <w:pPr>
        <w:spacing w:after="180"/>
      </w:pPr>
      <w:r>
        <w:rPr>
          <w:rFonts w:ascii="Arial" w:hAnsi="Arial" w:cs="Arial"/>
          <w:color w:val="0D1B2A"/>
          <w:sz w:val="23"/>
        </w:rPr>
        <w:t>This template is provided for general informational and business-use purposes only. It is not a final, client-ready document. Each organization must revise this template to reflect its legal entity, operating environment, systems, controls, personnel, risk profile, contractual obligations, and applicable legal and regulatory requirements before adoption or reliance.</w:t>
      </w:r>
    </w:p>
    <w:p w14:paraId="1ECD6C53" w14:textId="77777777" w:rsidR="00A71822" w:rsidRDefault="00000000">
      <w:pPr>
        <w:spacing w:after="180"/>
      </w:pPr>
      <w:r>
        <w:rPr>
          <w:rFonts w:ascii="Arial" w:hAnsi="Arial" w:cs="Arial"/>
          <w:color w:val="0D1B2A"/>
          <w:sz w:val="23"/>
        </w:rPr>
        <w:t>This template does not constitute legal advice, regulatory advice, audit advice, compliance advice, or any other professional advice. Use of this template does not create any attorney-client, advisory, fiduciary, or professional-services relationship except as expressly stated in a separate written agreement. Organizations should consult qualified legal counsel, compliance professionals, and other appropriate advisors before relying on this document.</w:t>
      </w:r>
    </w:p>
    <w:p w14:paraId="49C16420" w14:textId="77777777" w:rsidR="00A71822" w:rsidRDefault="00000000">
      <w:pPr>
        <w:spacing w:after="180"/>
      </w:pPr>
      <w:r>
        <w:rPr>
          <w:rFonts w:ascii="Arial" w:hAnsi="Arial" w:cs="Arial"/>
          <w:color w:val="0D1B2A"/>
          <w:sz w:val="23"/>
        </w:rPr>
        <w:t>No representation, warranty, or guarantee, express or implied, is made regarding the accuracy, completeness, sufficiency, enforceability, merchantability, fitness for a particular purpose, or suitability of this template for any specific organization, environment, or use case. This template is not a guarantee of compliance with any law, regulation, regulatory guidance, enforcement expectation, examination standard, framework, control set, industry practice, or contractual requirement, including but not limited to cybersecurity, privacy, financial-services, consumer-protection, or sector-specific obligations.</w:t>
      </w:r>
    </w:p>
    <w:p w14:paraId="1B2AED67" w14:textId="77777777" w:rsidR="00A71822" w:rsidRDefault="00000000">
      <w:pPr>
        <w:spacing w:after="180"/>
      </w:pPr>
      <w:r>
        <w:rPr>
          <w:rFonts w:ascii="Arial" w:hAnsi="Arial" w:cs="Arial"/>
          <w:color w:val="0D1B2A"/>
          <w:sz w:val="23"/>
        </w:rPr>
        <w:t>Each organization is solely responsible for performing its own legal, regulatory, operational, technical, and risk review; validating the accuracy and practicality of the content; testing the documented procedures; and updating the document to align with actual business processes and current requirements. If this template conflicts with applicable law, regulation, guidance, internal policy, or operational reality, the organization must modify the document accordingly before use.</w:t>
      </w:r>
    </w:p>
    <w:p w14:paraId="58E250B9" w14:textId="547ED43C" w:rsidR="00A71822" w:rsidRDefault="00000000">
      <w:pPr>
        <w:spacing w:after="180"/>
      </w:pPr>
      <w:r>
        <w:rPr>
          <w:rFonts w:ascii="Arial" w:hAnsi="Arial" w:cs="Arial"/>
          <w:color w:val="0D1B2A"/>
          <w:sz w:val="23"/>
        </w:rPr>
        <w:t>To the maximum extent permitted by law, SecureCyberInsight disclaim</w:t>
      </w:r>
      <w:r w:rsidR="006B64E8">
        <w:rPr>
          <w:rFonts w:ascii="Arial" w:hAnsi="Arial" w:cs="Arial"/>
          <w:color w:val="0D1B2A"/>
          <w:sz w:val="23"/>
        </w:rPr>
        <w:t>s</w:t>
      </w:r>
      <w:r>
        <w:rPr>
          <w:rFonts w:ascii="Arial" w:hAnsi="Arial" w:cs="Arial"/>
          <w:color w:val="0D1B2A"/>
          <w:sz w:val="23"/>
        </w:rPr>
        <w:t xml:space="preserve"> all liability for any direct, indirect, incidental, consequential, special, exemplary, punitive, regulatory, or business losses, damages, penalties, costs, expenses, or claims arising from or related to the use of, reliance on, implementation of, distribution of, or failure to modify this template.</w:t>
      </w:r>
    </w:p>
    <w:p w14:paraId="705E77E5" w14:textId="77777777" w:rsidR="00372923" w:rsidRDefault="00372923">
      <w:pPr>
        <w:spacing w:after="220"/>
        <w:rPr>
          <w:rFonts w:ascii="Helvetica" w:hAnsi="Helvetica" w:cs="Helvetica"/>
          <w:b/>
          <w:color w:val="1A3A5C"/>
        </w:rPr>
      </w:pPr>
    </w:p>
    <w:p w14:paraId="4604919A" w14:textId="77777777" w:rsidR="00372923" w:rsidRDefault="00372923">
      <w:pPr>
        <w:spacing w:after="220"/>
        <w:rPr>
          <w:rFonts w:ascii="Helvetica" w:hAnsi="Helvetica" w:cs="Helvetica"/>
          <w:b/>
          <w:color w:val="1A3A5C"/>
        </w:rPr>
      </w:pPr>
    </w:p>
    <w:p w14:paraId="55DA8DBD" w14:textId="77777777" w:rsidR="00372923" w:rsidRDefault="00372923">
      <w:pPr>
        <w:spacing w:after="220"/>
        <w:rPr>
          <w:rFonts w:ascii="Helvetica" w:hAnsi="Helvetica" w:cs="Helvetica"/>
          <w:b/>
          <w:color w:val="1A3A5C"/>
        </w:rPr>
      </w:pPr>
    </w:p>
    <w:p w14:paraId="0EAD0A61" w14:textId="77777777" w:rsidR="00372923" w:rsidRDefault="00372923">
      <w:pPr>
        <w:spacing w:after="220"/>
        <w:rPr>
          <w:rFonts w:ascii="Helvetica" w:hAnsi="Helvetica" w:cs="Helvetica"/>
          <w:b/>
          <w:color w:val="1A3A5C"/>
        </w:rPr>
      </w:pPr>
    </w:p>
    <w:p w14:paraId="39D533EE" w14:textId="77777777" w:rsidR="00372923" w:rsidRDefault="00372923">
      <w:pPr>
        <w:spacing w:after="220"/>
        <w:rPr>
          <w:rFonts w:ascii="Helvetica" w:hAnsi="Helvetica" w:cs="Helvetica"/>
          <w:b/>
          <w:color w:val="1A3A5C"/>
        </w:rPr>
      </w:pPr>
    </w:p>
    <w:p w14:paraId="7D3FADE8" w14:textId="1F73D593" w:rsidR="00A71822" w:rsidRDefault="00000000">
      <w:pPr>
        <w:spacing w:after="220"/>
      </w:pPr>
      <w:r>
        <w:rPr>
          <w:rFonts w:ascii="Helvetica" w:hAnsi="Helvetica" w:cs="Helvetica"/>
          <w:b/>
          <w:color w:val="1A3A5C"/>
        </w:rPr>
        <w:t>Template completion requirements</w:t>
      </w:r>
    </w:p>
    <w:p w14:paraId="0EFFA248" w14:textId="77777777" w:rsidR="00A71822" w:rsidRDefault="00000000">
      <w:pPr>
        <w:spacing w:after="120"/>
        <w:ind w:left="360"/>
      </w:pPr>
      <w:r>
        <w:rPr>
          <w:rFonts w:ascii="Arial" w:hAnsi="Arial" w:cs="Arial"/>
          <w:color w:val="0D1B2A"/>
          <w:sz w:val="22"/>
        </w:rPr>
        <w:t>•</w:t>
      </w:r>
      <w:r>
        <w:rPr>
          <w:rFonts w:ascii="Arial" w:hAnsi="Arial" w:cs="Arial"/>
          <w:color w:val="0D1B2A"/>
          <w:sz w:val="22"/>
        </w:rPr>
        <w:tab/>
        <w:t>Replace all placeholders, bracketed fields, and sample language.</w:t>
      </w:r>
    </w:p>
    <w:p w14:paraId="00016785" w14:textId="77777777" w:rsidR="00A71822" w:rsidRDefault="00000000">
      <w:pPr>
        <w:spacing w:after="120"/>
        <w:ind w:left="360"/>
      </w:pPr>
      <w:r>
        <w:rPr>
          <w:rFonts w:ascii="Arial" w:hAnsi="Arial" w:cs="Arial"/>
          <w:color w:val="0D1B2A"/>
          <w:sz w:val="22"/>
        </w:rPr>
        <w:t>•</w:t>
      </w:r>
      <w:r>
        <w:rPr>
          <w:rFonts w:ascii="Arial" w:hAnsi="Arial" w:cs="Arial"/>
          <w:color w:val="0D1B2A"/>
          <w:sz w:val="22"/>
        </w:rPr>
        <w:tab/>
        <w:t>Insert the company name, legal entity, document owner, and approval details.</w:t>
      </w:r>
    </w:p>
    <w:p w14:paraId="50ED181B" w14:textId="77777777" w:rsidR="00A71822" w:rsidRDefault="00000000">
      <w:pPr>
        <w:spacing w:after="120"/>
        <w:ind w:left="360"/>
      </w:pPr>
      <w:r>
        <w:rPr>
          <w:rFonts w:ascii="Arial" w:hAnsi="Arial" w:cs="Arial"/>
          <w:color w:val="0D1B2A"/>
          <w:sz w:val="22"/>
        </w:rPr>
        <w:t>•</w:t>
      </w:r>
      <w:r>
        <w:rPr>
          <w:rFonts w:ascii="Arial" w:hAnsi="Arial" w:cs="Arial"/>
          <w:color w:val="0D1B2A"/>
          <w:sz w:val="22"/>
        </w:rPr>
        <w:tab/>
        <w:t>Define the regulatory, contractual, and framework scope that applies to the organization.</w:t>
      </w:r>
    </w:p>
    <w:p w14:paraId="32C2A5E4" w14:textId="77777777" w:rsidR="00A71822" w:rsidRDefault="00000000">
      <w:pPr>
        <w:spacing w:after="120"/>
        <w:ind w:left="360"/>
      </w:pPr>
      <w:r>
        <w:rPr>
          <w:rFonts w:ascii="Arial" w:hAnsi="Arial" w:cs="Arial"/>
          <w:color w:val="0D1B2A"/>
          <w:sz w:val="22"/>
        </w:rPr>
        <w:t>•</w:t>
      </w:r>
      <w:r>
        <w:rPr>
          <w:rFonts w:ascii="Arial" w:hAnsi="Arial" w:cs="Arial"/>
          <w:color w:val="0D1B2A"/>
          <w:sz w:val="22"/>
        </w:rPr>
        <w:tab/>
        <w:t>Validate all procedures, control statements, roles, contact details, and approvals.</w:t>
      </w:r>
    </w:p>
    <w:p w14:paraId="7062FA9C" w14:textId="77777777" w:rsidR="00A71822" w:rsidRDefault="00000000">
      <w:pPr>
        <w:spacing w:after="120"/>
        <w:ind w:left="360"/>
      </w:pPr>
      <w:r>
        <w:rPr>
          <w:rFonts w:ascii="Arial" w:hAnsi="Arial" w:cs="Arial"/>
          <w:color w:val="0D1B2A"/>
          <w:sz w:val="22"/>
        </w:rPr>
        <w:t>•</w:t>
      </w:r>
      <w:r>
        <w:rPr>
          <w:rFonts w:ascii="Arial" w:hAnsi="Arial" w:cs="Arial"/>
          <w:color w:val="0D1B2A"/>
          <w:sz w:val="22"/>
        </w:rPr>
        <w:tab/>
        <w:t>Obtain legal, compliance, and management review as appropriate before use.</w:t>
      </w:r>
    </w:p>
    <w:p w14:paraId="20352A42" w14:textId="77777777" w:rsidR="00A71822" w:rsidRDefault="00000000">
      <w:pPr>
        <w:spacing w:after="120"/>
        <w:ind w:left="360"/>
      </w:pPr>
      <w:r>
        <w:rPr>
          <w:rFonts w:ascii="Arial" w:hAnsi="Arial" w:cs="Arial"/>
          <w:color w:val="0D1B2A"/>
          <w:sz w:val="22"/>
        </w:rPr>
        <w:t>•</w:t>
      </w:r>
      <w:r>
        <w:rPr>
          <w:rFonts w:ascii="Arial" w:hAnsi="Arial" w:cs="Arial"/>
          <w:color w:val="0D1B2A"/>
          <w:sz w:val="22"/>
        </w:rPr>
        <w:tab/>
        <w:t>Record the approval date, version, and revision history before release or publication.</w:t>
      </w:r>
    </w:p>
    <w:p w14:paraId="2E488024" w14:textId="60F48173" w:rsidR="00A71822" w:rsidRDefault="00A71822">
      <w:pPr>
        <w:spacing w:after="120"/>
      </w:pPr>
    </w:p>
    <w:p>
      <w:r>
        <w:br w:type="page"/>
      </w:r>
    </w:p>
    <w:p>
      <w:pPr>
        <w:spacing w:before="1200"/>
        <w:jc w:val="center"/>
      </w:pPr>
      <w:r>
        <w:rPr>
          <w:b/>
          <w:color w:val="16324F"/>
          <w:sz w:val="50"/>
        </w:rPr>
        <w:t>CYBER INSURANCE</w:t>
        <w:br/>
        <w:t>RENEWAL READINESS WORKBOOK</w:t>
      </w:r>
    </w:p>
    <w:p>
      <w:pPr>
        <w:jc w:val="center"/>
      </w:pPr>
      <w:r>
        <w:rPr>
          <w:i/>
          <w:color w:val="1F5A7A"/>
          <w:sz w:val="24"/>
        </w:rPr>
        <w:t>Evidence, control validation, and decision support for regulated small and midsize businesses</w:t>
      </w:r>
    </w:p>
    <w:p>
      <w:r>
        <w:br/>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2880"/>
            <w:shd w:fill="16324F"/>
          </w:tcPr>
          <w:p>
            <w:r>
              <w:rPr>
                <w:b/>
                <w:color w:val="FFFFFF"/>
                <w:sz w:val="16"/>
              </w:rPr>
              <w:t>Document owner</w:t>
            </w:r>
          </w:p>
        </w:tc>
        <w:tc>
          <w:tcPr>
            <w:tcW w:type="dxa" w:w="2448"/>
            <w:shd w:fill="16324F"/>
          </w:tcPr>
          <w:p>
            <w:r>
              <w:rPr>
                <w:b/>
                <w:color w:val="FFFFFF"/>
                <w:sz w:val="16"/>
              </w:rPr>
              <w:t>Review cycle</w:t>
            </w:r>
          </w:p>
        </w:tc>
        <w:tc>
          <w:tcPr>
            <w:tcW w:type="dxa" w:w="2592"/>
            <w:shd w:fill="16324F"/>
          </w:tcPr>
          <w:p>
            <w:r>
              <w:rPr>
                <w:b/>
                <w:color w:val="FFFFFF"/>
                <w:sz w:val="16"/>
              </w:rPr>
              <w:t>Target completion</w:t>
            </w:r>
          </w:p>
        </w:tc>
        <w:tc>
          <w:tcPr>
            <w:tcW w:type="dxa" w:w="1584"/>
            <w:shd w:fill="16324F"/>
          </w:tcPr>
          <w:p>
            <w:r>
              <w:rPr>
                <w:b/>
                <w:color w:val="FFFFFF"/>
                <w:sz w:val="16"/>
              </w:rPr>
              <w:t>Version</w:t>
            </w:r>
          </w:p>
        </w:tc>
      </w:tr>
      <w:tr>
        <w:tc>
          <w:tcPr>
            <w:tcW w:type="dxa" w:w="2880"/>
            <w:vAlign w:val="center"/>
          </w:tcPr>
          <w:p>
            <w:pPr>
              <w:spacing w:after="20"/>
            </w:pPr>
            <w:r>
              <w:rPr>
                <w:sz w:val="15"/>
              </w:rPr>
              <w:t>[Name / role]</w:t>
            </w:r>
          </w:p>
        </w:tc>
        <w:tc>
          <w:tcPr>
            <w:tcW w:type="dxa" w:w="2448"/>
            <w:vAlign w:val="center"/>
          </w:tcPr>
          <w:p>
            <w:pPr>
              <w:spacing w:after="20"/>
            </w:pPr>
            <w:r>
              <w:rPr>
                <w:sz w:val="15"/>
              </w:rPr>
              <w:t>Annual and before material coverage changes</w:t>
            </w:r>
          </w:p>
        </w:tc>
        <w:tc>
          <w:tcPr>
            <w:tcW w:type="dxa" w:w="2592"/>
            <w:vAlign w:val="center"/>
          </w:tcPr>
          <w:p>
            <w:pPr>
              <w:spacing w:after="20"/>
            </w:pPr>
            <w:r>
              <w:rPr>
                <w:sz w:val="15"/>
              </w:rPr>
              <w:t>[YYYY-MM-DD]</w:t>
            </w:r>
          </w:p>
        </w:tc>
        <w:tc>
          <w:tcPr>
            <w:tcW w:type="dxa" w:w="1584"/>
            <w:vAlign w:val="center"/>
          </w:tcPr>
          <w:p>
            <w:pPr>
              <w:spacing w:after="20"/>
            </w:pPr>
            <w:r>
              <w:rPr>
                <w:sz w:val="15"/>
              </w:rPr>
              <w:t>0.1 Draft</w:t>
            </w:r>
          </w:p>
        </w:tc>
      </w:tr>
    </w:tbl>
    <w:p>
      <w:pPr>
        <w:spacing w:after="0"/>
      </w:pPr>
    </w:p>
    <w:p>
      <w:pPr>
        <w:pStyle w:val="Heading1"/>
      </w:pPr>
      <w:r>
        <w:t>Purpose</w:t>
      </w:r>
    </w:p>
    <w:p>
      <w:r>
        <w:t>Use this workbook to prepare accurate, supportable cyber insurance renewal submissions; identify control gaps before underwriting; coordinate owners; and preserve the evidence behind application answers. It is an operational aid, not legal, insurance, or coverage advice.</w:t>
      </w:r>
    </w:p>
    <w:p>
      <w:pPr>
        <w:pStyle w:val="Heading1"/>
      </w:pPr>
      <w:r>
        <w:t>How to use this workbook</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720"/>
            <w:shd w:fill="16324F"/>
          </w:tcPr>
          <w:p>
            <w:r>
              <w:rPr>
                <w:b/>
                <w:color w:val="FFFFFF"/>
                <w:sz w:val="16"/>
              </w:rPr>
              <w:t>Step</w:t>
            </w:r>
          </w:p>
        </w:tc>
        <w:tc>
          <w:tcPr>
            <w:tcW w:type="dxa" w:w="5760"/>
            <w:shd w:fill="16324F"/>
          </w:tcPr>
          <w:p>
            <w:r>
              <w:rPr>
                <w:b/>
                <w:color w:val="FFFFFF"/>
                <w:sz w:val="16"/>
              </w:rPr>
              <w:t>Action</w:t>
            </w:r>
          </w:p>
        </w:tc>
        <w:tc>
          <w:tcPr>
            <w:tcW w:type="dxa" w:w="3024"/>
            <w:shd w:fill="16324F"/>
          </w:tcPr>
          <w:p>
            <w:r>
              <w:rPr>
                <w:b/>
                <w:color w:val="FFFFFF"/>
                <w:sz w:val="16"/>
              </w:rPr>
              <w:t>Output</w:t>
            </w:r>
          </w:p>
        </w:tc>
      </w:tr>
      <w:tr>
        <w:tc>
          <w:tcPr>
            <w:tcW w:type="dxa" w:w="720"/>
            <w:vAlign w:val="center"/>
          </w:tcPr>
          <w:p>
            <w:pPr>
              <w:spacing w:after="20"/>
            </w:pPr>
            <w:r>
              <w:rPr>
                <w:sz w:val="15"/>
              </w:rPr>
              <w:t>1</w:t>
            </w:r>
          </w:p>
        </w:tc>
        <w:tc>
          <w:tcPr>
            <w:tcW w:type="dxa" w:w="5760"/>
            <w:vAlign w:val="center"/>
          </w:tcPr>
          <w:p>
            <w:pPr>
              <w:spacing w:after="20"/>
            </w:pPr>
            <w:r>
              <w:rPr>
                <w:sz w:val="15"/>
              </w:rPr>
              <w:t>Assign an executive sponsor and renewal coordinator 120–180 days before expiration.</w:t>
            </w:r>
          </w:p>
        </w:tc>
        <w:tc>
          <w:tcPr>
            <w:tcW w:type="dxa" w:w="3024"/>
            <w:vAlign w:val="center"/>
          </w:tcPr>
          <w:p>
            <w:pPr>
              <w:spacing w:after="20"/>
            </w:pPr>
            <w:r>
              <w:rPr>
                <w:sz w:val="15"/>
              </w:rPr>
              <w:t>Accountability and timeline</w:t>
            </w:r>
          </w:p>
        </w:tc>
      </w:tr>
      <w:tr>
        <w:tc>
          <w:tcPr>
            <w:tcW w:type="dxa" w:w="720"/>
            <w:vAlign w:val="center"/>
            <w:shd w:fill="EAF2F7"/>
          </w:tcPr>
          <w:p>
            <w:pPr>
              <w:spacing w:after="20"/>
            </w:pPr>
            <w:r>
              <w:rPr>
                <w:sz w:val="15"/>
              </w:rPr>
              <w:t>2</w:t>
            </w:r>
          </w:p>
        </w:tc>
        <w:tc>
          <w:tcPr>
            <w:tcW w:type="dxa" w:w="5760"/>
            <w:vAlign w:val="center"/>
            <w:shd w:fill="EAF2F7"/>
          </w:tcPr>
          <w:p>
            <w:pPr>
              <w:spacing w:after="20"/>
            </w:pPr>
            <w:r>
              <w:rPr>
                <w:sz w:val="15"/>
              </w:rPr>
              <w:t>Obtain the current application, expiring policy, endorsements, loss runs, and insurer control requirements.</w:t>
            </w:r>
          </w:p>
        </w:tc>
        <w:tc>
          <w:tcPr>
            <w:tcW w:type="dxa" w:w="3024"/>
            <w:vAlign w:val="center"/>
            <w:shd w:fill="EAF2F7"/>
          </w:tcPr>
          <w:p>
            <w:pPr>
              <w:spacing w:after="20"/>
            </w:pPr>
            <w:r>
              <w:rPr>
                <w:sz w:val="15"/>
              </w:rPr>
              <w:t>Complete source package</w:t>
            </w:r>
          </w:p>
        </w:tc>
      </w:tr>
      <w:tr>
        <w:tc>
          <w:tcPr>
            <w:tcW w:type="dxa" w:w="720"/>
            <w:vAlign w:val="center"/>
          </w:tcPr>
          <w:p>
            <w:pPr>
              <w:spacing w:after="20"/>
            </w:pPr>
            <w:r>
              <w:rPr>
                <w:sz w:val="15"/>
              </w:rPr>
              <w:t>3</w:t>
            </w:r>
          </w:p>
        </w:tc>
        <w:tc>
          <w:tcPr>
            <w:tcW w:type="dxa" w:w="5760"/>
            <w:vAlign w:val="center"/>
          </w:tcPr>
          <w:p>
            <w:pPr>
              <w:spacing w:after="20"/>
            </w:pPr>
            <w:r>
              <w:rPr>
                <w:sz w:val="15"/>
              </w:rPr>
              <w:t>Validate every material answer with the control owner and dated evidence.</w:t>
            </w:r>
          </w:p>
        </w:tc>
        <w:tc>
          <w:tcPr>
            <w:tcW w:type="dxa" w:w="3024"/>
            <w:vAlign w:val="center"/>
          </w:tcPr>
          <w:p>
            <w:pPr>
              <w:spacing w:after="20"/>
            </w:pPr>
            <w:r>
              <w:rPr>
                <w:sz w:val="15"/>
              </w:rPr>
              <w:t>Defensible application responses</w:t>
            </w:r>
          </w:p>
        </w:tc>
      </w:tr>
      <w:tr>
        <w:tc>
          <w:tcPr>
            <w:tcW w:type="dxa" w:w="720"/>
            <w:vAlign w:val="center"/>
            <w:shd w:fill="EAF2F7"/>
          </w:tcPr>
          <w:p>
            <w:pPr>
              <w:spacing w:after="20"/>
            </w:pPr>
            <w:r>
              <w:rPr>
                <w:sz w:val="15"/>
              </w:rPr>
              <w:t>4</w:t>
            </w:r>
          </w:p>
        </w:tc>
        <w:tc>
          <w:tcPr>
            <w:tcW w:type="dxa" w:w="5760"/>
            <w:vAlign w:val="center"/>
            <w:shd w:fill="EAF2F7"/>
          </w:tcPr>
          <w:p>
            <w:pPr>
              <w:spacing w:after="20"/>
            </w:pPr>
            <w:r>
              <w:rPr>
                <w:sz w:val="15"/>
              </w:rPr>
              <w:t>Track gaps, compensating controls, and remediation commitments.</w:t>
            </w:r>
          </w:p>
        </w:tc>
        <w:tc>
          <w:tcPr>
            <w:tcW w:type="dxa" w:w="3024"/>
            <w:vAlign w:val="center"/>
            <w:shd w:fill="EAF2F7"/>
          </w:tcPr>
          <w:p>
            <w:pPr>
              <w:spacing w:after="20"/>
            </w:pPr>
            <w:r>
              <w:rPr>
                <w:sz w:val="15"/>
              </w:rPr>
              <w:t>Underwriting action plan</w:t>
            </w:r>
          </w:p>
        </w:tc>
      </w:tr>
      <w:tr>
        <w:tc>
          <w:tcPr>
            <w:tcW w:type="dxa" w:w="720"/>
            <w:vAlign w:val="center"/>
          </w:tcPr>
          <w:p>
            <w:pPr>
              <w:spacing w:after="20"/>
            </w:pPr>
            <w:r>
              <w:rPr>
                <w:sz w:val="15"/>
              </w:rPr>
              <w:t>5</w:t>
            </w:r>
          </w:p>
        </w:tc>
        <w:tc>
          <w:tcPr>
            <w:tcW w:type="dxa" w:w="5760"/>
            <w:vAlign w:val="center"/>
          </w:tcPr>
          <w:p>
            <w:pPr>
              <w:spacing w:after="20"/>
            </w:pPr>
            <w:r>
              <w:rPr>
                <w:sz w:val="15"/>
              </w:rPr>
              <w:t>Compare quotations for coverage, exclusions, sublimits, and service obligations—not price alone.</w:t>
            </w:r>
          </w:p>
        </w:tc>
        <w:tc>
          <w:tcPr>
            <w:tcW w:type="dxa" w:w="3024"/>
            <w:vAlign w:val="center"/>
          </w:tcPr>
          <w:p>
            <w:pPr>
              <w:spacing w:after="20"/>
            </w:pPr>
            <w:r>
              <w:rPr>
                <w:sz w:val="15"/>
              </w:rPr>
              <w:t>Documented selection decision</w:t>
            </w:r>
          </w:p>
        </w:tc>
      </w:tr>
    </w:tbl>
    <w:p>
      <w:pPr>
        <w:spacing w:after="0"/>
      </w:pPr>
    </w:p>
    <w:p>
      <w:pPr>
        <w:pStyle w:val="Heading2"/>
      </w:pPr>
      <w:r>
        <w:t>Control alignment</w:t>
      </w:r>
    </w:p>
    <w:p>
      <w:r>
        <w:t>The workbook uses NIST Cybersecurity Framework (CSF) 2.0 functions as a practical organizing model. It also supports common underwriting inquiries related to CIS Controls, NIST SP 800-53, PCI DSS, and FFIEC guidance. Framework references are directional; confirm contractual and regulatory requirements applicable to your organization.</w:t>
      </w:r>
    </w:p>
    <w:p>
      <w:r>
        <w:br w:type="page"/>
      </w:r>
    </w:p>
    <w:p>
      <w:pPr>
        <w:pStyle w:val="Heading1"/>
      </w:pPr>
      <w:r>
        <w:t>1. Renewal governance and timeline</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1584"/>
            <w:shd w:fill="16324F"/>
          </w:tcPr>
          <w:p>
            <w:r>
              <w:rPr>
                <w:b/>
                <w:color w:val="FFFFFF"/>
                <w:sz w:val="16"/>
              </w:rPr>
              <w:t>Days before expiration</w:t>
            </w:r>
          </w:p>
        </w:tc>
        <w:tc>
          <w:tcPr>
            <w:tcW w:type="dxa" w:w="4464"/>
            <w:shd w:fill="16324F"/>
          </w:tcPr>
          <w:p>
            <w:r>
              <w:rPr>
                <w:b/>
                <w:color w:val="FFFFFF"/>
                <w:sz w:val="16"/>
              </w:rPr>
              <w:t>Milestone</w:t>
            </w:r>
          </w:p>
        </w:tc>
        <w:tc>
          <w:tcPr>
            <w:tcW w:type="dxa" w:w="1872"/>
            <w:shd w:fill="16324F"/>
          </w:tcPr>
          <w:p>
            <w:r>
              <w:rPr>
                <w:b/>
                <w:color w:val="FFFFFF"/>
                <w:sz w:val="16"/>
              </w:rPr>
              <w:t>Accountable role</w:t>
            </w:r>
          </w:p>
        </w:tc>
        <w:tc>
          <w:tcPr>
            <w:tcW w:type="dxa" w:w="1584"/>
            <w:shd w:fill="16324F"/>
          </w:tcPr>
          <w:p>
            <w:r>
              <w:rPr>
                <w:b/>
                <w:color w:val="FFFFFF"/>
                <w:sz w:val="16"/>
              </w:rPr>
              <w:t>Status / date</w:t>
            </w:r>
          </w:p>
        </w:tc>
      </w:tr>
      <w:tr>
        <w:tc>
          <w:tcPr>
            <w:tcW w:type="dxa" w:w="1584"/>
            <w:vAlign w:val="center"/>
          </w:tcPr>
          <w:p>
            <w:pPr>
              <w:spacing w:after="20"/>
            </w:pPr>
            <w:r>
              <w:rPr>
                <w:sz w:val="15"/>
              </w:rPr>
              <w:t>180–150</w:t>
            </w:r>
          </w:p>
        </w:tc>
        <w:tc>
          <w:tcPr>
            <w:tcW w:type="dxa" w:w="4464"/>
            <w:vAlign w:val="center"/>
          </w:tcPr>
          <w:p>
            <w:pPr>
              <w:spacing w:after="20"/>
            </w:pPr>
            <w:r>
              <w:rPr>
                <w:sz w:val="15"/>
              </w:rPr>
              <w:t>Confirm broker, carrier strategy, business changes, acquisitions, and desired limits.</w:t>
            </w:r>
          </w:p>
        </w:tc>
        <w:tc>
          <w:tcPr>
            <w:tcW w:type="dxa" w:w="1872"/>
            <w:vAlign w:val="center"/>
          </w:tcPr>
          <w:p>
            <w:pPr>
              <w:spacing w:after="20"/>
            </w:pPr>
            <w:r>
              <w:rPr>
                <w:sz w:val="15"/>
              </w:rPr>
              <w:t>Executive sponsor</w:t>
            </w:r>
          </w:p>
        </w:tc>
        <w:tc>
          <w:tcPr>
            <w:tcW w:type="dxa" w:w="1584"/>
            <w:vAlign w:val="center"/>
          </w:tcPr>
          <w:p>
            <w:pPr>
              <w:spacing w:after="20"/>
            </w:pPr>
            <w:r>
              <w:rPr>
                <w:sz w:val="15"/>
              </w:rPr>
            </w:r>
          </w:p>
        </w:tc>
      </w:tr>
      <w:tr>
        <w:tc>
          <w:tcPr>
            <w:tcW w:type="dxa" w:w="1584"/>
            <w:vAlign w:val="center"/>
            <w:shd w:fill="EAF2F7"/>
          </w:tcPr>
          <w:p>
            <w:pPr>
              <w:spacing w:after="20"/>
            </w:pPr>
            <w:r>
              <w:rPr>
                <w:sz w:val="15"/>
              </w:rPr>
              <w:t>150–120</w:t>
            </w:r>
          </w:p>
        </w:tc>
        <w:tc>
          <w:tcPr>
            <w:tcW w:type="dxa" w:w="4464"/>
            <w:vAlign w:val="center"/>
            <w:shd w:fill="EAF2F7"/>
          </w:tcPr>
          <w:p>
            <w:pPr>
              <w:spacing w:after="20"/>
            </w:pPr>
            <w:r>
              <w:rPr>
                <w:sz w:val="15"/>
              </w:rPr>
              <w:t>Collect application, policy, endorsements, loss runs, claims history, and prior representations.</w:t>
            </w:r>
          </w:p>
        </w:tc>
        <w:tc>
          <w:tcPr>
            <w:tcW w:type="dxa" w:w="1872"/>
            <w:vAlign w:val="center"/>
            <w:shd w:fill="EAF2F7"/>
          </w:tcPr>
          <w:p>
            <w:pPr>
              <w:spacing w:after="20"/>
            </w:pPr>
            <w:r>
              <w:rPr>
                <w:sz w:val="15"/>
              </w:rPr>
              <w:t>Renewal coordinator</w:t>
            </w:r>
          </w:p>
        </w:tc>
        <w:tc>
          <w:tcPr>
            <w:tcW w:type="dxa" w:w="1584"/>
            <w:vAlign w:val="center"/>
            <w:shd w:fill="EAF2F7"/>
          </w:tcPr>
          <w:p>
            <w:pPr>
              <w:spacing w:after="20"/>
            </w:pPr>
            <w:r>
              <w:rPr>
                <w:sz w:val="15"/>
              </w:rPr>
            </w:r>
          </w:p>
        </w:tc>
      </w:tr>
      <w:tr>
        <w:tc>
          <w:tcPr>
            <w:tcW w:type="dxa" w:w="1584"/>
            <w:vAlign w:val="center"/>
          </w:tcPr>
          <w:p>
            <w:pPr>
              <w:spacing w:after="20"/>
            </w:pPr>
            <w:r>
              <w:rPr>
                <w:sz w:val="15"/>
              </w:rPr>
              <w:t>120–90</w:t>
            </w:r>
          </w:p>
        </w:tc>
        <w:tc>
          <w:tcPr>
            <w:tcW w:type="dxa" w:w="4464"/>
            <w:vAlign w:val="center"/>
          </w:tcPr>
          <w:p>
            <w:pPr>
              <w:spacing w:after="20"/>
            </w:pPr>
            <w:r>
              <w:rPr>
                <w:sz w:val="15"/>
              </w:rPr>
              <w:t>Run control-owner interviews and evidence validation; initiate penetration test if needed.</w:t>
            </w:r>
          </w:p>
        </w:tc>
        <w:tc>
          <w:tcPr>
            <w:tcW w:type="dxa" w:w="1872"/>
            <w:vAlign w:val="center"/>
          </w:tcPr>
          <w:p>
            <w:pPr>
              <w:spacing w:after="20"/>
            </w:pPr>
            <w:r>
              <w:rPr>
                <w:sz w:val="15"/>
              </w:rPr>
              <w:t>Security lead</w:t>
            </w:r>
          </w:p>
        </w:tc>
        <w:tc>
          <w:tcPr>
            <w:tcW w:type="dxa" w:w="1584"/>
            <w:vAlign w:val="center"/>
          </w:tcPr>
          <w:p>
            <w:pPr>
              <w:spacing w:after="20"/>
            </w:pPr>
            <w:r>
              <w:rPr>
                <w:sz w:val="15"/>
              </w:rPr>
            </w:r>
          </w:p>
        </w:tc>
      </w:tr>
      <w:tr>
        <w:tc>
          <w:tcPr>
            <w:tcW w:type="dxa" w:w="1584"/>
            <w:vAlign w:val="center"/>
            <w:shd w:fill="EAF2F7"/>
          </w:tcPr>
          <w:p>
            <w:pPr>
              <w:spacing w:after="20"/>
            </w:pPr>
            <w:r>
              <w:rPr>
                <w:sz w:val="15"/>
              </w:rPr>
              <w:t>90–60</w:t>
            </w:r>
          </w:p>
        </w:tc>
        <w:tc>
          <w:tcPr>
            <w:tcW w:type="dxa" w:w="4464"/>
            <w:vAlign w:val="center"/>
            <w:shd w:fill="EAF2F7"/>
          </w:tcPr>
          <w:p>
            <w:pPr>
              <w:spacing w:after="20"/>
            </w:pPr>
            <w:r>
              <w:rPr>
                <w:sz w:val="15"/>
              </w:rPr>
              <w:t>Remediate high-impact gaps; document compensating controls and residual risk.</w:t>
            </w:r>
          </w:p>
        </w:tc>
        <w:tc>
          <w:tcPr>
            <w:tcW w:type="dxa" w:w="1872"/>
            <w:vAlign w:val="center"/>
            <w:shd w:fill="EAF2F7"/>
          </w:tcPr>
          <w:p>
            <w:pPr>
              <w:spacing w:after="20"/>
            </w:pPr>
            <w:r>
              <w:rPr>
                <w:sz w:val="15"/>
              </w:rPr>
              <w:t>Control owners</w:t>
            </w:r>
          </w:p>
        </w:tc>
        <w:tc>
          <w:tcPr>
            <w:tcW w:type="dxa" w:w="1584"/>
            <w:vAlign w:val="center"/>
            <w:shd w:fill="EAF2F7"/>
          </w:tcPr>
          <w:p>
            <w:pPr>
              <w:spacing w:after="20"/>
            </w:pPr>
            <w:r>
              <w:rPr>
                <w:sz w:val="15"/>
              </w:rPr>
            </w:r>
          </w:p>
        </w:tc>
      </w:tr>
      <w:tr>
        <w:tc>
          <w:tcPr>
            <w:tcW w:type="dxa" w:w="1584"/>
            <w:vAlign w:val="center"/>
          </w:tcPr>
          <w:p>
            <w:pPr>
              <w:spacing w:after="20"/>
            </w:pPr>
            <w:r>
              <w:rPr>
                <w:sz w:val="15"/>
              </w:rPr>
              <w:t>60–45</w:t>
            </w:r>
          </w:p>
        </w:tc>
        <w:tc>
          <w:tcPr>
            <w:tcW w:type="dxa" w:w="4464"/>
            <w:vAlign w:val="center"/>
          </w:tcPr>
          <w:p>
            <w:pPr>
              <w:spacing w:after="20"/>
            </w:pPr>
            <w:r>
              <w:rPr>
                <w:sz w:val="15"/>
              </w:rPr>
              <w:t>Complete legal/finance review; submit approved application and attachments.</w:t>
            </w:r>
          </w:p>
        </w:tc>
        <w:tc>
          <w:tcPr>
            <w:tcW w:type="dxa" w:w="1872"/>
            <w:vAlign w:val="center"/>
          </w:tcPr>
          <w:p>
            <w:pPr>
              <w:spacing w:after="20"/>
            </w:pPr>
            <w:r>
              <w:rPr>
                <w:sz w:val="15"/>
              </w:rPr>
              <w:t>Legal / CFO</w:t>
            </w:r>
          </w:p>
        </w:tc>
        <w:tc>
          <w:tcPr>
            <w:tcW w:type="dxa" w:w="1584"/>
            <w:vAlign w:val="center"/>
          </w:tcPr>
          <w:p>
            <w:pPr>
              <w:spacing w:after="20"/>
            </w:pPr>
            <w:r>
              <w:rPr>
                <w:sz w:val="15"/>
              </w:rPr>
            </w:r>
          </w:p>
        </w:tc>
      </w:tr>
      <w:tr>
        <w:tc>
          <w:tcPr>
            <w:tcW w:type="dxa" w:w="1584"/>
            <w:vAlign w:val="center"/>
            <w:shd w:fill="EAF2F7"/>
          </w:tcPr>
          <w:p>
            <w:pPr>
              <w:spacing w:after="20"/>
            </w:pPr>
            <w:r>
              <w:rPr>
                <w:sz w:val="15"/>
              </w:rPr>
              <w:t>45–20</w:t>
            </w:r>
          </w:p>
        </w:tc>
        <w:tc>
          <w:tcPr>
            <w:tcW w:type="dxa" w:w="4464"/>
            <w:vAlign w:val="center"/>
            <w:shd w:fill="EAF2F7"/>
          </w:tcPr>
          <w:p>
            <w:pPr>
              <w:spacing w:after="20"/>
            </w:pPr>
            <w:r>
              <w:rPr>
                <w:sz w:val="15"/>
              </w:rPr>
              <w:t>Respond to underwriting questions; compare quotes, exclusions, warranties, and sublimits.</w:t>
            </w:r>
          </w:p>
        </w:tc>
        <w:tc>
          <w:tcPr>
            <w:tcW w:type="dxa" w:w="1872"/>
            <w:vAlign w:val="center"/>
            <w:shd w:fill="EAF2F7"/>
          </w:tcPr>
          <w:p>
            <w:pPr>
              <w:spacing w:after="20"/>
            </w:pPr>
            <w:r>
              <w:rPr>
                <w:sz w:val="15"/>
              </w:rPr>
              <w:t>Broker / coordinator</w:t>
            </w:r>
          </w:p>
        </w:tc>
        <w:tc>
          <w:tcPr>
            <w:tcW w:type="dxa" w:w="1584"/>
            <w:vAlign w:val="center"/>
            <w:shd w:fill="EAF2F7"/>
          </w:tcPr>
          <w:p>
            <w:pPr>
              <w:spacing w:after="20"/>
            </w:pPr>
            <w:r>
              <w:rPr>
                <w:sz w:val="15"/>
              </w:rPr>
            </w:r>
          </w:p>
        </w:tc>
      </w:tr>
      <w:tr>
        <w:tc>
          <w:tcPr>
            <w:tcW w:type="dxa" w:w="1584"/>
            <w:vAlign w:val="center"/>
          </w:tcPr>
          <w:p>
            <w:pPr>
              <w:spacing w:after="20"/>
            </w:pPr>
            <w:r>
              <w:rPr>
                <w:sz w:val="15"/>
              </w:rPr>
              <w:t>20–0</w:t>
            </w:r>
          </w:p>
        </w:tc>
        <w:tc>
          <w:tcPr>
            <w:tcW w:type="dxa" w:w="4464"/>
            <w:vAlign w:val="center"/>
          </w:tcPr>
          <w:p>
            <w:pPr>
              <w:spacing w:after="20"/>
            </w:pPr>
            <w:r>
              <w:rPr>
                <w:sz w:val="15"/>
              </w:rPr>
              <w:t>Approve bind decision, confirm incident contacts, retain final record, brief response team.</w:t>
            </w:r>
          </w:p>
        </w:tc>
        <w:tc>
          <w:tcPr>
            <w:tcW w:type="dxa" w:w="1872"/>
            <w:vAlign w:val="center"/>
          </w:tcPr>
          <w:p>
            <w:pPr>
              <w:spacing w:after="20"/>
            </w:pPr>
            <w:r>
              <w:rPr>
                <w:sz w:val="15"/>
              </w:rPr>
              <w:t>Executive sponsor</w:t>
            </w:r>
          </w:p>
        </w:tc>
        <w:tc>
          <w:tcPr>
            <w:tcW w:type="dxa" w:w="1584"/>
            <w:vAlign w:val="center"/>
          </w:tcPr>
          <w:p>
            <w:pPr>
              <w:spacing w:after="20"/>
            </w:pPr>
            <w:r>
              <w:rPr>
                <w:sz w:val="15"/>
              </w:rPr>
            </w:r>
          </w:p>
        </w:tc>
      </w:tr>
    </w:tbl>
    <w:p>
      <w:pPr>
        <w:spacing w:after="0"/>
      </w:pPr>
    </w:p>
    <w:p>
      <w:pPr>
        <w:pStyle w:val="Heading2"/>
      </w:pPr>
      <w:r>
        <w:t>RACI</w:t>
      </w:r>
    </w:p>
    <w:tbl>
      <w:tblPr>
        <w:tblStyle w:val="TableGrid"/>
        <w:tblW w:type="auto" w:w="0"/>
        <w:jc w:val="center"/>
        <w:tblLook w:firstColumn="1" w:firstRow="1" w:lastColumn="0" w:lastRow="0" w:noHBand="0" w:noVBand="1" w:val="04A0"/>
      </w:tblPr>
      <w:tblGrid>
        <w:gridCol w:w="1461"/>
        <w:gridCol w:w="1461"/>
        <w:gridCol w:w="1461"/>
        <w:gridCol w:w="1461"/>
        <w:gridCol w:w="1461"/>
        <w:gridCol w:w="1461"/>
        <w:gridCol w:w="1461"/>
      </w:tblGrid>
      <w:tr>
        <w:trPr>
          <w:tblHeader w:val="true"/>
        </w:trPr>
        <w:tc>
          <w:tcPr>
            <w:tcW w:type="dxa" w:w="3168"/>
            <w:shd w:fill="16324F"/>
          </w:tcPr>
          <w:p>
            <w:r>
              <w:rPr>
                <w:b/>
                <w:color w:val="FFFFFF"/>
                <w:sz w:val="16"/>
              </w:rPr>
              <w:t>Activity</w:t>
            </w:r>
          </w:p>
        </w:tc>
        <w:tc>
          <w:tcPr>
            <w:tcW w:type="dxa" w:w="864"/>
            <w:shd w:fill="16324F"/>
          </w:tcPr>
          <w:p>
            <w:r>
              <w:rPr>
                <w:b/>
                <w:color w:val="FFFFFF"/>
                <w:sz w:val="16"/>
              </w:rPr>
              <w:t>Sponsor</w:t>
            </w:r>
          </w:p>
        </w:tc>
        <w:tc>
          <w:tcPr>
            <w:tcW w:type="dxa" w:w="1008"/>
            <w:shd w:fill="16324F"/>
          </w:tcPr>
          <w:p>
            <w:r>
              <w:rPr>
                <w:b/>
                <w:color w:val="FFFFFF"/>
                <w:sz w:val="16"/>
              </w:rPr>
              <w:t>Security</w:t>
            </w:r>
          </w:p>
        </w:tc>
        <w:tc>
          <w:tcPr>
            <w:tcW w:type="dxa" w:w="864"/>
            <w:shd w:fill="16324F"/>
          </w:tcPr>
          <w:p>
            <w:r>
              <w:rPr>
                <w:b/>
                <w:color w:val="FFFFFF"/>
                <w:sz w:val="16"/>
              </w:rPr>
              <w:t>IT</w:t>
            </w:r>
          </w:p>
        </w:tc>
        <w:tc>
          <w:tcPr>
            <w:tcW w:type="dxa" w:w="1008"/>
            <w:shd w:fill="16324F"/>
          </w:tcPr>
          <w:p>
            <w:r>
              <w:rPr>
                <w:b/>
                <w:color w:val="FFFFFF"/>
                <w:sz w:val="16"/>
              </w:rPr>
              <w:t>Legal</w:t>
            </w:r>
          </w:p>
        </w:tc>
        <w:tc>
          <w:tcPr>
            <w:tcW w:type="dxa" w:w="1008"/>
            <w:shd w:fill="16324F"/>
          </w:tcPr>
          <w:p>
            <w:r>
              <w:rPr>
                <w:b/>
                <w:color w:val="FFFFFF"/>
                <w:sz w:val="16"/>
              </w:rPr>
              <w:t>Finance</w:t>
            </w:r>
          </w:p>
        </w:tc>
        <w:tc>
          <w:tcPr>
            <w:tcW w:type="dxa" w:w="1008"/>
            <w:shd w:fill="16324F"/>
          </w:tcPr>
          <w:p>
            <w:r>
              <w:rPr>
                <w:b/>
                <w:color w:val="FFFFFF"/>
                <w:sz w:val="16"/>
              </w:rPr>
              <w:t>Broker</w:t>
            </w:r>
          </w:p>
        </w:tc>
      </w:tr>
      <w:tr>
        <w:tc>
          <w:tcPr>
            <w:tcW w:type="dxa" w:w="3168"/>
            <w:vAlign w:val="center"/>
          </w:tcPr>
          <w:p>
            <w:pPr>
              <w:spacing w:after="20"/>
            </w:pPr>
            <w:r>
              <w:rPr>
                <w:sz w:val="15"/>
              </w:rPr>
              <w:t>Set risk-transfer objectives</w:t>
            </w:r>
          </w:p>
        </w:tc>
        <w:tc>
          <w:tcPr>
            <w:tcW w:type="dxa" w:w="864"/>
            <w:vAlign w:val="center"/>
          </w:tcPr>
          <w:p>
            <w:pPr>
              <w:spacing w:after="20"/>
            </w:pPr>
            <w:r>
              <w:rPr>
                <w:sz w:val="15"/>
              </w:rPr>
              <w:t>A</w:t>
            </w:r>
          </w:p>
        </w:tc>
        <w:tc>
          <w:tcPr>
            <w:tcW w:type="dxa" w:w="1008"/>
            <w:vAlign w:val="center"/>
          </w:tcPr>
          <w:p>
            <w:pPr>
              <w:spacing w:after="20"/>
            </w:pPr>
            <w:r>
              <w:rPr>
                <w:sz w:val="15"/>
              </w:rPr>
              <w:t>C</w:t>
            </w:r>
          </w:p>
        </w:tc>
        <w:tc>
          <w:tcPr>
            <w:tcW w:type="dxa" w:w="864"/>
            <w:vAlign w:val="center"/>
          </w:tcPr>
          <w:p>
            <w:pPr>
              <w:spacing w:after="20"/>
            </w:pPr>
            <w:r>
              <w:rPr>
                <w:sz w:val="15"/>
              </w:rPr>
              <w:t>C</w:t>
            </w:r>
          </w:p>
        </w:tc>
        <w:tc>
          <w:tcPr>
            <w:tcW w:type="dxa" w:w="1008"/>
            <w:vAlign w:val="center"/>
          </w:tcPr>
          <w:p>
            <w:pPr>
              <w:spacing w:after="20"/>
            </w:pPr>
            <w:r>
              <w:rPr>
                <w:sz w:val="15"/>
              </w:rPr>
              <w:t>C</w:t>
            </w:r>
          </w:p>
        </w:tc>
        <w:tc>
          <w:tcPr>
            <w:tcW w:type="dxa" w:w="1008"/>
            <w:vAlign w:val="center"/>
          </w:tcPr>
          <w:p>
            <w:pPr>
              <w:spacing w:after="20"/>
            </w:pPr>
            <w:r>
              <w:rPr>
                <w:sz w:val="15"/>
              </w:rPr>
              <w:t>R</w:t>
            </w:r>
          </w:p>
        </w:tc>
        <w:tc>
          <w:tcPr>
            <w:tcW w:type="dxa" w:w="1008"/>
            <w:vAlign w:val="center"/>
          </w:tcPr>
          <w:p>
            <w:pPr>
              <w:spacing w:after="20"/>
            </w:pPr>
            <w:r>
              <w:rPr>
                <w:sz w:val="15"/>
              </w:rPr>
              <w:t>C</w:t>
            </w:r>
          </w:p>
        </w:tc>
      </w:tr>
      <w:tr>
        <w:tc>
          <w:tcPr>
            <w:tcW w:type="dxa" w:w="3168"/>
            <w:vAlign w:val="center"/>
            <w:shd w:fill="EAF2F7"/>
          </w:tcPr>
          <w:p>
            <w:pPr>
              <w:spacing w:after="20"/>
            </w:pPr>
            <w:r>
              <w:rPr>
                <w:sz w:val="15"/>
              </w:rPr>
              <w:t>Validate technical controls</w:t>
            </w:r>
          </w:p>
        </w:tc>
        <w:tc>
          <w:tcPr>
            <w:tcW w:type="dxa" w:w="864"/>
            <w:vAlign w:val="center"/>
            <w:shd w:fill="EAF2F7"/>
          </w:tcPr>
          <w:p>
            <w:pPr>
              <w:spacing w:after="20"/>
            </w:pPr>
            <w:r>
              <w:rPr>
                <w:sz w:val="15"/>
              </w:rPr>
              <w:t>I</w:t>
            </w:r>
          </w:p>
        </w:tc>
        <w:tc>
          <w:tcPr>
            <w:tcW w:type="dxa" w:w="1008"/>
            <w:vAlign w:val="center"/>
            <w:shd w:fill="EAF2F7"/>
          </w:tcPr>
          <w:p>
            <w:pPr>
              <w:spacing w:after="20"/>
            </w:pPr>
            <w:r>
              <w:rPr>
                <w:sz w:val="15"/>
              </w:rPr>
              <w:t>A/R</w:t>
            </w:r>
          </w:p>
        </w:tc>
        <w:tc>
          <w:tcPr>
            <w:tcW w:type="dxa" w:w="864"/>
            <w:vAlign w:val="center"/>
            <w:shd w:fill="EAF2F7"/>
          </w:tcPr>
          <w:p>
            <w:pPr>
              <w:spacing w:after="20"/>
            </w:pPr>
            <w:r>
              <w:rPr>
                <w:sz w:val="15"/>
              </w:rPr>
              <w:t>R</w:t>
            </w:r>
          </w:p>
        </w:tc>
        <w:tc>
          <w:tcPr>
            <w:tcW w:type="dxa" w:w="1008"/>
            <w:vAlign w:val="center"/>
            <w:shd w:fill="EAF2F7"/>
          </w:tcPr>
          <w:p>
            <w:pPr>
              <w:spacing w:after="20"/>
            </w:pPr>
            <w:r>
              <w:rPr>
                <w:sz w:val="15"/>
              </w:rPr>
              <w:t>C</w:t>
            </w:r>
          </w:p>
        </w:tc>
        <w:tc>
          <w:tcPr>
            <w:tcW w:type="dxa" w:w="1008"/>
            <w:vAlign w:val="center"/>
            <w:shd w:fill="EAF2F7"/>
          </w:tcPr>
          <w:p>
            <w:pPr>
              <w:spacing w:after="20"/>
            </w:pPr>
            <w:r>
              <w:rPr>
                <w:sz w:val="15"/>
              </w:rPr>
              <w:t>I</w:t>
            </w:r>
          </w:p>
        </w:tc>
        <w:tc>
          <w:tcPr>
            <w:tcW w:type="dxa" w:w="1008"/>
            <w:vAlign w:val="center"/>
            <w:shd w:fill="EAF2F7"/>
          </w:tcPr>
          <w:p>
            <w:pPr>
              <w:spacing w:after="20"/>
            </w:pPr>
            <w:r>
              <w:rPr>
                <w:sz w:val="15"/>
              </w:rPr>
              <w:t>I</w:t>
            </w:r>
          </w:p>
        </w:tc>
      </w:tr>
      <w:tr>
        <w:tc>
          <w:tcPr>
            <w:tcW w:type="dxa" w:w="3168"/>
            <w:vAlign w:val="center"/>
          </w:tcPr>
          <w:p>
            <w:pPr>
              <w:spacing w:after="20"/>
            </w:pPr>
            <w:r>
              <w:rPr>
                <w:sz w:val="15"/>
              </w:rPr>
              <w:t>Approve application statements</w:t>
            </w:r>
          </w:p>
        </w:tc>
        <w:tc>
          <w:tcPr>
            <w:tcW w:type="dxa" w:w="864"/>
            <w:vAlign w:val="center"/>
          </w:tcPr>
          <w:p>
            <w:pPr>
              <w:spacing w:after="20"/>
            </w:pPr>
            <w:r>
              <w:rPr>
                <w:sz w:val="15"/>
              </w:rPr>
              <w:t>A</w:t>
            </w:r>
          </w:p>
        </w:tc>
        <w:tc>
          <w:tcPr>
            <w:tcW w:type="dxa" w:w="1008"/>
            <w:vAlign w:val="center"/>
          </w:tcPr>
          <w:p>
            <w:pPr>
              <w:spacing w:after="20"/>
            </w:pPr>
            <w:r>
              <w:rPr>
                <w:sz w:val="15"/>
              </w:rPr>
              <w:t>R</w:t>
            </w:r>
          </w:p>
        </w:tc>
        <w:tc>
          <w:tcPr>
            <w:tcW w:type="dxa" w:w="864"/>
            <w:vAlign w:val="center"/>
          </w:tcPr>
          <w:p>
            <w:pPr>
              <w:spacing w:after="20"/>
            </w:pPr>
            <w:r>
              <w:rPr>
                <w:sz w:val="15"/>
              </w:rPr>
              <w:t>C</w:t>
            </w:r>
          </w:p>
        </w:tc>
        <w:tc>
          <w:tcPr>
            <w:tcW w:type="dxa" w:w="1008"/>
            <w:vAlign w:val="center"/>
          </w:tcPr>
          <w:p>
            <w:pPr>
              <w:spacing w:after="20"/>
            </w:pPr>
            <w:r>
              <w:rPr>
                <w:sz w:val="15"/>
              </w:rPr>
              <w:t>R</w:t>
            </w:r>
          </w:p>
        </w:tc>
        <w:tc>
          <w:tcPr>
            <w:tcW w:type="dxa" w:w="1008"/>
            <w:vAlign w:val="center"/>
          </w:tcPr>
          <w:p>
            <w:pPr>
              <w:spacing w:after="20"/>
            </w:pPr>
            <w:r>
              <w:rPr>
                <w:sz w:val="15"/>
              </w:rPr>
              <w:t>C</w:t>
            </w:r>
          </w:p>
        </w:tc>
        <w:tc>
          <w:tcPr>
            <w:tcW w:type="dxa" w:w="1008"/>
            <w:vAlign w:val="center"/>
          </w:tcPr>
          <w:p>
            <w:pPr>
              <w:spacing w:after="20"/>
            </w:pPr>
            <w:r>
              <w:rPr>
                <w:sz w:val="15"/>
              </w:rPr>
              <w:t>C</w:t>
            </w:r>
          </w:p>
        </w:tc>
      </w:tr>
      <w:tr>
        <w:tc>
          <w:tcPr>
            <w:tcW w:type="dxa" w:w="3168"/>
            <w:vAlign w:val="center"/>
            <w:shd w:fill="EAF2F7"/>
          </w:tcPr>
          <w:p>
            <w:pPr>
              <w:spacing w:after="20"/>
            </w:pPr>
            <w:r>
              <w:rPr>
                <w:sz w:val="15"/>
              </w:rPr>
              <w:t>Evaluate coverage and exclusions</w:t>
            </w:r>
          </w:p>
        </w:tc>
        <w:tc>
          <w:tcPr>
            <w:tcW w:type="dxa" w:w="864"/>
            <w:vAlign w:val="center"/>
            <w:shd w:fill="EAF2F7"/>
          </w:tcPr>
          <w:p>
            <w:pPr>
              <w:spacing w:after="20"/>
            </w:pPr>
            <w:r>
              <w:rPr>
                <w:sz w:val="15"/>
              </w:rPr>
              <w:t>A</w:t>
            </w:r>
          </w:p>
        </w:tc>
        <w:tc>
          <w:tcPr>
            <w:tcW w:type="dxa" w:w="1008"/>
            <w:vAlign w:val="center"/>
            <w:shd w:fill="EAF2F7"/>
          </w:tcPr>
          <w:p>
            <w:pPr>
              <w:spacing w:after="20"/>
            </w:pPr>
            <w:r>
              <w:rPr>
                <w:sz w:val="15"/>
              </w:rPr>
              <w:t>C</w:t>
            </w:r>
          </w:p>
        </w:tc>
        <w:tc>
          <w:tcPr>
            <w:tcW w:type="dxa" w:w="864"/>
            <w:vAlign w:val="center"/>
            <w:shd w:fill="EAF2F7"/>
          </w:tcPr>
          <w:p>
            <w:pPr>
              <w:spacing w:after="20"/>
            </w:pPr>
            <w:r>
              <w:rPr>
                <w:sz w:val="15"/>
              </w:rPr>
              <w:t>I</w:t>
            </w:r>
          </w:p>
        </w:tc>
        <w:tc>
          <w:tcPr>
            <w:tcW w:type="dxa" w:w="1008"/>
            <w:vAlign w:val="center"/>
            <w:shd w:fill="EAF2F7"/>
          </w:tcPr>
          <w:p>
            <w:pPr>
              <w:spacing w:after="20"/>
            </w:pPr>
            <w:r>
              <w:rPr>
                <w:sz w:val="15"/>
              </w:rPr>
              <w:t>R</w:t>
            </w:r>
          </w:p>
        </w:tc>
        <w:tc>
          <w:tcPr>
            <w:tcW w:type="dxa" w:w="1008"/>
            <w:vAlign w:val="center"/>
            <w:shd w:fill="EAF2F7"/>
          </w:tcPr>
          <w:p>
            <w:pPr>
              <w:spacing w:after="20"/>
            </w:pPr>
            <w:r>
              <w:rPr>
                <w:sz w:val="15"/>
              </w:rPr>
              <w:t>R</w:t>
            </w:r>
          </w:p>
        </w:tc>
        <w:tc>
          <w:tcPr>
            <w:tcW w:type="dxa" w:w="1008"/>
            <w:vAlign w:val="center"/>
            <w:shd w:fill="EAF2F7"/>
          </w:tcPr>
          <w:p>
            <w:pPr>
              <w:spacing w:after="20"/>
            </w:pPr>
            <w:r>
              <w:rPr>
                <w:sz w:val="15"/>
              </w:rPr>
              <w:t>R</w:t>
            </w:r>
          </w:p>
        </w:tc>
      </w:tr>
      <w:tr>
        <w:tc>
          <w:tcPr>
            <w:tcW w:type="dxa" w:w="3168"/>
            <w:vAlign w:val="center"/>
          </w:tcPr>
          <w:p>
            <w:pPr>
              <w:spacing w:after="20"/>
            </w:pPr>
            <w:r>
              <w:rPr>
                <w:sz w:val="15"/>
              </w:rPr>
              <w:t>Bind and retain records</w:t>
            </w:r>
          </w:p>
        </w:tc>
        <w:tc>
          <w:tcPr>
            <w:tcW w:type="dxa" w:w="864"/>
            <w:vAlign w:val="center"/>
          </w:tcPr>
          <w:p>
            <w:pPr>
              <w:spacing w:after="20"/>
            </w:pPr>
            <w:r>
              <w:rPr>
                <w:sz w:val="15"/>
              </w:rPr>
              <w:t>A</w:t>
            </w:r>
          </w:p>
        </w:tc>
        <w:tc>
          <w:tcPr>
            <w:tcW w:type="dxa" w:w="1008"/>
            <w:vAlign w:val="center"/>
          </w:tcPr>
          <w:p>
            <w:pPr>
              <w:spacing w:after="20"/>
            </w:pPr>
            <w:r>
              <w:rPr>
                <w:sz w:val="15"/>
              </w:rPr>
              <w:t>I</w:t>
            </w:r>
          </w:p>
        </w:tc>
        <w:tc>
          <w:tcPr>
            <w:tcW w:type="dxa" w:w="864"/>
            <w:vAlign w:val="center"/>
          </w:tcPr>
          <w:p>
            <w:pPr>
              <w:spacing w:after="20"/>
            </w:pPr>
            <w:r>
              <w:rPr>
                <w:sz w:val="15"/>
              </w:rPr>
              <w:t>I</w:t>
            </w:r>
          </w:p>
        </w:tc>
        <w:tc>
          <w:tcPr>
            <w:tcW w:type="dxa" w:w="1008"/>
            <w:vAlign w:val="center"/>
          </w:tcPr>
          <w:p>
            <w:pPr>
              <w:spacing w:after="20"/>
            </w:pPr>
            <w:r>
              <w:rPr>
                <w:sz w:val="15"/>
              </w:rPr>
              <w:t>C</w:t>
            </w:r>
          </w:p>
        </w:tc>
        <w:tc>
          <w:tcPr>
            <w:tcW w:type="dxa" w:w="1008"/>
            <w:vAlign w:val="center"/>
          </w:tcPr>
          <w:p>
            <w:pPr>
              <w:spacing w:after="20"/>
            </w:pPr>
            <w:r>
              <w:rPr>
                <w:sz w:val="15"/>
              </w:rPr>
              <w:t>R</w:t>
            </w:r>
          </w:p>
        </w:tc>
        <w:tc>
          <w:tcPr>
            <w:tcW w:type="dxa" w:w="1008"/>
            <w:vAlign w:val="center"/>
          </w:tcPr>
          <w:p>
            <w:pPr>
              <w:spacing w:after="20"/>
            </w:pPr>
            <w:r>
              <w:rPr>
                <w:sz w:val="15"/>
              </w:rPr>
              <w:t>R</w:t>
            </w:r>
          </w:p>
        </w:tc>
      </w:tr>
    </w:tbl>
    <w:p>
      <w:pPr>
        <w:spacing w:after="0"/>
      </w:pPr>
    </w:p>
    <w:p>
      <w:r>
        <w:t>R = Responsible, A = Accountable, C = Consulted, I = Informed.</w:t>
      </w:r>
    </w:p>
    <w:p>
      <w:pPr>
        <w:pStyle w:val="Heading2"/>
      </w:pPr>
      <w:r>
        <w:t>Submission integrity rule</w:t>
      </w:r>
    </w:p>
    <w:p>
      <w:r>
        <w:t>Do not answer from memory or reuse last year’s answer without revalidation. Record scope, exceptions, evidence date, and approving owner. Escalate ambiguous terms—such as “all,” “always,” or “within X days”—to legal counsel and the broker before attestation.</w:t>
      </w:r>
    </w:p>
    <w:p>
      <w:r>
        <w:br w:type="page"/>
      </w:r>
    </w:p>
    <w:p>
      <w:pPr>
        <w:pStyle w:val="Heading1"/>
      </w:pPr>
      <w:r>
        <w:t>2. Business and exposure profile</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3888"/>
            <w:shd w:fill="16324F"/>
          </w:tcPr>
          <w:p>
            <w:r>
              <w:rPr>
                <w:b/>
                <w:color w:val="FFFFFF"/>
                <w:sz w:val="16"/>
              </w:rPr>
              <w:t>Prompt</w:t>
            </w:r>
          </w:p>
        </w:tc>
        <w:tc>
          <w:tcPr>
            <w:tcW w:type="dxa" w:w="2304"/>
            <w:shd w:fill="16324F"/>
          </w:tcPr>
          <w:p>
            <w:r>
              <w:rPr>
                <w:b/>
                <w:color w:val="FFFFFF"/>
                <w:sz w:val="16"/>
              </w:rPr>
              <w:t>Current response</w:t>
            </w:r>
          </w:p>
        </w:tc>
        <w:tc>
          <w:tcPr>
            <w:tcW w:type="dxa" w:w="2592"/>
            <w:shd w:fill="16324F"/>
          </w:tcPr>
          <w:p>
            <w:r>
              <w:rPr>
                <w:b/>
                <w:color w:val="FFFFFF"/>
                <w:sz w:val="16"/>
              </w:rPr>
              <w:t>Evidence / source</w:t>
            </w:r>
          </w:p>
        </w:tc>
        <w:tc>
          <w:tcPr>
            <w:tcW w:type="dxa" w:w="1440"/>
            <w:shd w:fill="16324F"/>
          </w:tcPr>
          <w:p>
            <w:r>
              <w:rPr>
                <w:b/>
                <w:color w:val="FFFFFF"/>
                <w:sz w:val="16"/>
              </w:rPr>
              <w:t>Owner</w:t>
            </w:r>
          </w:p>
        </w:tc>
      </w:tr>
      <w:tr>
        <w:tc>
          <w:tcPr>
            <w:tcW w:type="dxa" w:w="3888"/>
            <w:vAlign w:val="center"/>
          </w:tcPr>
          <w:p>
            <w:pPr>
              <w:spacing w:after="20"/>
            </w:pPr>
            <w:r>
              <w:rPr>
                <w:sz w:val="15"/>
              </w:rPr>
              <w:t>Legal entities, locations, and covered subsidiaries</w:t>
            </w:r>
          </w:p>
        </w:tc>
        <w:tc>
          <w:tcPr>
            <w:tcW w:type="dxa" w:w="2304"/>
            <w:vAlign w:val="center"/>
          </w:tcPr>
          <w:p>
            <w:pPr>
              <w:spacing w:after="20"/>
            </w:pPr>
            <w:r>
              <w:rPr>
                <w:sz w:val="15"/>
              </w:rPr>
            </w:r>
          </w:p>
        </w:tc>
        <w:tc>
          <w:tcPr>
            <w:tcW w:type="dxa" w:w="2592"/>
            <w:vAlign w:val="center"/>
          </w:tcPr>
          <w:p>
            <w:pPr>
              <w:spacing w:after="20"/>
            </w:pPr>
            <w:r>
              <w:rPr>
                <w:sz w:val="15"/>
              </w:rPr>
            </w:r>
          </w:p>
        </w:tc>
        <w:tc>
          <w:tcPr>
            <w:tcW w:type="dxa" w:w="1440"/>
            <w:vAlign w:val="center"/>
          </w:tcPr>
          <w:p>
            <w:pPr>
              <w:spacing w:after="20"/>
            </w:pPr>
            <w:r>
              <w:rPr>
                <w:sz w:val="15"/>
              </w:rPr>
            </w:r>
          </w:p>
        </w:tc>
      </w:tr>
      <w:tr>
        <w:tc>
          <w:tcPr>
            <w:tcW w:type="dxa" w:w="3888"/>
            <w:vAlign w:val="center"/>
            <w:shd w:fill="EAF2F7"/>
          </w:tcPr>
          <w:p>
            <w:pPr>
              <w:spacing w:after="20"/>
            </w:pPr>
            <w:r>
              <w:rPr>
                <w:sz w:val="15"/>
              </w:rPr>
              <w:t>Annual revenue and revenue by geography</w:t>
            </w:r>
          </w:p>
        </w:tc>
        <w:tc>
          <w:tcPr>
            <w:tcW w:type="dxa" w:w="2304"/>
            <w:vAlign w:val="center"/>
            <w:shd w:fill="EAF2F7"/>
          </w:tcPr>
          <w:p>
            <w:pPr>
              <w:spacing w:after="20"/>
            </w:pPr>
            <w:r>
              <w:rPr>
                <w:sz w:val="15"/>
              </w:rPr>
            </w:r>
          </w:p>
        </w:tc>
        <w:tc>
          <w:tcPr>
            <w:tcW w:type="dxa" w:w="2592"/>
            <w:vAlign w:val="center"/>
            <w:shd w:fill="EAF2F7"/>
          </w:tcPr>
          <w:p>
            <w:pPr>
              <w:spacing w:after="20"/>
            </w:pPr>
            <w:r>
              <w:rPr>
                <w:sz w:val="15"/>
              </w:rPr>
            </w:r>
          </w:p>
        </w:tc>
        <w:tc>
          <w:tcPr>
            <w:tcW w:type="dxa" w:w="1440"/>
            <w:vAlign w:val="center"/>
            <w:shd w:fill="EAF2F7"/>
          </w:tcPr>
          <w:p>
            <w:pPr>
              <w:spacing w:after="20"/>
            </w:pPr>
            <w:r>
              <w:rPr>
                <w:sz w:val="15"/>
              </w:rPr>
            </w:r>
          </w:p>
        </w:tc>
      </w:tr>
      <w:tr>
        <w:tc>
          <w:tcPr>
            <w:tcW w:type="dxa" w:w="3888"/>
            <w:vAlign w:val="center"/>
          </w:tcPr>
          <w:p>
            <w:pPr>
              <w:spacing w:after="20"/>
            </w:pPr>
            <w:r>
              <w:rPr>
                <w:sz w:val="15"/>
              </w:rPr>
              <w:t>Employee and contractor counts</w:t>
            </w:r>
          </w:p>
        </w:tc>
        <w:tc>
          <w:tcPr>
            <w:tcW w:type="dxa" w:w="2304"/>
            <w:vAlign w:val="center"/>
          </w:tcPr>
          <w:p>
            <w:pPr>
              <w:spacing w:after="20"/>
            </w:pPr>
            <w:r>
              <w:rPr>
                <w:sz w:val="15"/>
              </w:rPr>
            </w:r>
          </w:p>
        </w:tc>
        <w:tc>
          <w:tcPr>
            <w:tcW w:type="dxa" w:w="2592"/>
            <w:vAlign w:val="center"/>
          </w:tcPr>
          <w:p>
            <w:pPr>
              <w:spacing w:after="20"/>
            </w:pPr>
            <w:r>
              <w:rPr>
                <w:sz w:val="15"/>
              </w:rPr>
            </w:r>
          </w:p>
        </w:tc>
        <w:tc>
          <w:tcPr>
            <w:tcW w:type="dxa" w:w="1440"/>
            <w:vAlign w:val="center"/>
          </w:tcPr>
          <w:p>
            <w:pPr>
              <w:spacing w:after="20"/>
            </w:pPr>
            <w:r>
              <w:rPr>
                <w:sz w:val="15"/>
              </w:rPr>
            </w:r>
          </w:p>
        </w:tc>
      </w:tr>
      <w:tr>
        <w:tc>
          <w:tcPr>
            <w:tcW w:type="dxa" w:w="3888"/>
            <w:vAlign w:val="center"/>
            <w:shd w:fill="EAF2F7"/>
          </w:tcPr>
          <w:p>
            <w:pPr>
              <w:spacing w:after="20"/>
            </w:pPr>
            <w:r>
              <w:rPr>
                <w:sz w:val="15"/>
              </w:rPr>
              <w:t>Regulated data types and approximate records</w:t>
            </w:r>
          </w:p>
        </w:tc>
        <w:tc>
          <w:tcPr>
            <w:tcW w:type="dxa" w:w="2304"/>
            <w:vAlign w:val="center"/>
            <w:shd w:fill="EAF2F7"/>
          </w:tcPr>
          <w:p>
            <w:pPr>
              <w:spacing w:after="20"/>
            </w:pPr>
            <w:r>
              <w:rPr>
                <w:sz w:val="15"/>
              </w:rPr>
            </w:r>
          </w:p>
        </w:tc>
        <w:tc>
          <w:tcPr>
            <w:tcW w:type="dxa" w:w="2592"/>
            <w:vAlign w:val="center"/>
            <w:shd w:fill="EAF2F7"/>
          </w:tcPr>
          <w:p>
            <w:pPr>
              <w:spacing w:after="20"/>
            </w:pPr>
            <w:r>
              <w:rPr>
                <w:sz w:val="15"/>
              </w:rPr>
            </w:r>
          </w:p>
        </w:tc>
        <w:tc>
          <w:tcPr>
            <w:tcW w:type="dxa" w:w="1440"/>
            <w:vAlign w:val="center"/>
            <w:shd w:fill="EAF2F7"/>
          </w:tcPr>
          <w:p>
            <w:pPr>
              <w:spacing w:after="20"/>
            </w:pPr>
            <w:r>
              <w:rPr>
                <w:sz w:val="15"/>
              </w:rPr>
            </w:r>
          </w:p>
        </w:tc>
      </w:tr>
      <w:tr>
        <w:tc>
          <w:tcPr>
            <w:tcW w:type="dxa" w:w="3888"/>
            <w:vAlign w:val="center"/>
          </w:tcPr>
          <w:p>
            <w:pPr>
              <w:spacing w:after="20"/>
            </w:pPr>
            <w:r>
              <w:rPr>
                <w:sz w:val="15"/>
              </w:rPr>
              <w:t>Payment card environment and PCI DSS scope</w:t>
            </w:r>
          </w:p>
        </w:tc>
        <w:tc>
          <w:tcPr>
            <w:tcW w:type="dxa" w:w="2304"/>
            <w:vAlign w:val="center"/>
          </w:tcPr>
          <w:p>
            <w:pPr>
              <w:spacing w:after="20"/>
            </w:pPr>
            <w:r>
              <w:rPr>
                <w:sz w:val="15"/>
              </w:rPr>
            </w:r>
          </w:p>
        </w:tc>
        <w:tc>
          <w:tcPr>
            <w:tcW w:type="dxa" w:w="2592"/>
            <w:vAlign w:val="center"/>
          </w:tcPr>
          <w:p>
            <w:pPr>
              <w:spacing w:after="20"/>
            </w:pPr>
            <w:r>
              <w:rPr>
                <w:sz w:val="15"/>
              </w:rPr>
            </w:r>
          </w:p>
        </w:tc>
        <w:tc>
          <w:tcPr>
            <w:tcW w:type="dxa" w:w="1440"/>
            <w:vAlign w:val="center"/>
          </w:tcPr>
          <w:p>
            <w:pPr>
              <w:spacing w:after="20"/>
            </w:pPr>
            <w:r>
              <w:rPr>
                <w:sz w:val="15"/>
              </w:rPr>
            </w:r>
          </w:p>
        </w:tc>
      </w:tr>
      <w:tr>
        <w:tc>
          <w:tcPr>
            <w:tcW w:type="dxa" w:w="3888"/>
            <w:vAlign w:val="center"/>
            <w:shd w:fill="EAF2F7"/>
          </w:tcPr>
          <w:p>
            <w:pPr>
              <w:spacing w:after="20"/>
            </w:pPr>
            <w:r>
              <w:rPr>
                <w:sz w:val="15"/>
              </w:rPr>
              <w:t>Critical products/services and maximum tolerable downtime</w:t>
            </w:r>
          </w:p>
        </w:tc>
        <w:tc>
          <w:tcPr>
            <w:tcW w:type="dxa" w:w="2304"/>
            <w:vAlign w:val="center"/>
            <w:shd w:fill="EAF2F7"/>
          </w:tcPr>
          <w:p>
            <w:pPr>
              <w:spacing w:after="20"/>
            </w:pPr>
            <w:r>
              <w:rPr>
                <w:sz w:val="15"/>
              </w:rPr>
            </w:r>
          </w:p>
        </w:tc>
        <w:tc>
          <w:tcPr>
            <w:tcW w:type="dxa" w:w="2592"/>
            <w:vAlign w:val="center"/>
            <w:shd w:fill="EAF2F7"/>
          </w:tcPr>
          <w:p>
            <w:pPr>
              <w:spacing w:after="20"/>
            </w:pPr>
            <w:r>
              <w:rPr>
                <w:sz w:val="15"/>
              </w:rPr>
            </w:r>
          </w:p>
        </w:tc>
        <w:tc>
          <w:tcPr>
            <w:tcW w:type="dxa" w:w="1440"/>
            <w:vAlign w:val="center"/>
            <w:shd w:fill="EAF2F7"/>
          </w:tcPr>
          <w:p>
            <w:pPr>
              <w:spacing w:after="20"/>
            </w:pPr>
            <w:r>
              <w:rPr>
                <w:sz w:val="15"/>
              </w:rPr>
            </w:r>
          </w:p>
        </w:tc>
      </w:tr>
      <w:tr>
        <w:tc>
          <w:tcPr>
            <w:tcW w:type="dxa" w:w="3888"/>
            <w:vAlign w:val="center"/>
          </w:tcPr>
          <w:p>
            <w:pPr>
              <w:spacing w:after="20"/>
            </w:pPr>
            <w:r>
              <w:rPr>
                <w:sz w:val="15"/>
              </w:rPr>
              <w:t>Cloud, managed service, and outsourced IT dependencies</w:t>
            </w:r>
          </w:p>
        </w:tc>
        <w:tc>
          <w:tcPr>
            <w:tcW w:type="dxa" w:w="2304"/>
            <w:vAlign w:val="center"/>
          </w:tcPr>
          <w:p>
            <w:pPr>
              <w:spacing w:after="20"/>
            </w:pPr>
            <w:r>
              <w:rPr>
                <w:sz w:val="15"/>
              </w:rPr>
            </w:r>
          </w:p>
        </w:tc>
        <w:tc>
          <w:tcPr>
            <w:tcW w:type="dxa" w:w="2592"/>
            <w:vAlign w:val="center"/>
          </w:tcPr>
          <w:p>
            <w:pPr>
              <w:spacing w:after="20"/>
            </w:pPr>
            <w:r>
              <w:rPr>
                <w:sz w:val="15"/>
              </w:rPr>
            </w:r>
          </w:p>
        </w:tc>
        <w:tc>
          <w:tcPr>
            <w:tcW w:type="dxa" w:w="1440"/>
            <w:vAlign w:val="center"/>
          </w:tcPr>
          <w:p>
            <w:pPr>
              <w:spacing w:after="20"/>
            </w:pPr>
            <w:r>
              <w:rPr>
                <w:sz w:val="15"/>
              </w:rPr>
            </w:r>
          </w:p>
        </w:tc>
      </w:tr>
      <w:tr>
        <w:tc>
          <w:tcPr>
            <w:tcW w:type="dxa" w:w="3888"/>
            <w:vAlign w:val="center"/>
            <w:shd w:fill="EAF2F7"/>
          </w:tcPr>
          <w:p>
            <w:pPr>
              <w:spacing w:after="20"/>
            </w:pPr>
            <w:r>
              <w:rPr>
                <w:sz w:val="15"/>
              </w:rPr>
              <w:t>M&amp;A, divestiture, new markets, or major technology changes</w:t>
            </w:r>
          </w:p>
        </w:tc>
        <w:tc>
          <w:tcPr>
            <w:tcW w:type="dxa" w:w="2304"/>
            <w:vAlign w:val="center"/>
            <w:shd w:fill="EAF2F7"/>
          </w:tcPr>
          <w:p>
            <w:pPr>
              <w:spacing w:after="20"/>
            </w:pPr>
            <w:r>
              <w:rPr>
                <w:sz w:val="15"/>
              </w:rPr>
            </w:r>
          </w:p>
        </w:tc>
        <w:tc>
          <w:tcPr>
            <w:tcW w:type="dxa" w:w="2592"/>
            <w:vAlign w:val="center"/>
            <w:shd w:fill="EAF2F7"/>
          </w:tcPr>
          <w:p>
            <w:pPr>
              <w:spacing w:after="20"/>
            </w:pPr>
            <w:r>
              <w:rPr>
                <w:sz w:val="15"/>
              </w:rPr>
            </w:r>
          </w:p>
        </w:tc>
        <w:tc>
          <w:tcPr>
            <w:tcW w:type="dxa" w:w="1440"/>
            <w:vAlign w:val="center"/>
            <w:shd w:fill="EAF2F7"/>
          </w:tcPr>
          <w:p>
            <w:pPr>
              <w:spacing w:after="20"/>
            </w:pPr>
            <w:r>
              <w:rPr>
                <w:sz w:val="15"/>
              </w:rPr>
            </w:r>
          </w:p>
        </w:tc>
      </w:tr>
      <w:tr>
        <w:tc>
          <w:tcPr>
            <w:tcW w:type="dxa" w:w="3888"/>
            <w:vAlign w:val="center"/>
          </w:tcPr>
          <w:p>
            <w:pPr>
              <w:spacing w:after="20"/>
            </w:pPr>
            <w:r>
              <w:rPr>
                <w:sz w:val="15"/>
              </w:rPr>
              <w:t>Prior incidents, claims, circumstances, or regulator inquiries</w:t>
            </w:r>
          </w:p>
        </w:tc>
        <w:tc>
          <w:tcPr>
            <w:tcW w:type="dxa" w:w="2304"/>
            <w:vAlign w:val="center"/>
          </w:tcPr>
          <w:p>
            <w:pPr>
              <w:spacing w:after="20"/>
            </w:pPr>
            <w:r>
              <w:rPr>
                <w:sz w:val="15"/>
              </w:rPr>
            </w:r>
          </w:p>
        </w:tc>
        <w:tc>
          <w:tcPr>
            <w:tcW w:type="dxa" w:w="2592"/>
            <w:vAlign w:val="center"/>
          </w:tcPr>
          <w:p>
            <w:pPr>
              <w:spacing w:after="20"/>
            </w:pPr>
            <w:r>
              <w:rPr>
                <w:sz w:val="15"/>
              </w:rPr>
            </w:r>
          </w:p>
        </w:tc>
        <w:tc>
          <w:tcPr>
            <w:tcW w:type="dxa" w:w="1440"/>
            <w:vAlign w:val="center"/>
          </w:tcPr>
          <w:p>
            <w:pPr>
              <w:spacing w:after="20"/>
            </w:pPr>
            <w:r>
              <w:rPr>
                <w:sz w:val="15"/>
              </w:rPr>
            </w:r>
          </w:p>
        </w:tc>
      </w:tr>
      <w:tr>
        <w:tc>
          <w:tcPr>
            <w:tcW w:type="dxa" w:w="3888"/>
            <w:vAlign w:val="center"/>
            <w:shd w:fill="EAF2F7"/>
          </w:tcPr>
          <w:p>
            <w:pPr>
              <w:spacing w:after="20"/>
            </w:pPr>
            <w:r>
              <w:rPr>
                <w:sz w:val="15"/>
              </w:rPr>
              <w:t>Requested limits, retention, retroactive date, and key sublimits</w:t>
            </w:r>
          </w:p>
        </w:tc>
        <w:tc>
          <w:tcPr>
            <w:tcW w:type="dxa" w:w="2304"/>
            <w:vAlign w:val="center"/>
            <w:shd w:fill="EAF2F7"/>
          </w:tcPr>
          <w:p>
            <w:pPr>
              <w:spacing w:after="20"/>
            </w:pPr>
            <w:r>
              <w:rPr>
                <w:sz w:val="15"/>
              </w:rPr>
            </w:r>
          </w:p>
        </w:tc>
        <w:tc>
          <w:tcPr>
            <w:tcW w:type="dxa" w:w="2592"/>
            <w:vAlign w:val="center"/>
            <w:shd w:fill="EAF2F7"/>
          </w:tcPr>
          <w:p>
            <w:pPr>
              <w:spacing w:after="20"/>
            </w:pPr>
            <w:r>
              <w:rPr>
                <w:sz w:val="15"/>
              </w:rPr>
            </w:r>
          </w:p>
        </w:tc>
        <w:tc>
          <w:tcPr>
            <w:tcW w:type="dxa" w:w="1440"/>
            <w:vAlign w:val="center"/>
            <w:shd w:fill="EAF2F7"/>
          </w:tcPr>
          <w:p>
            <w:pPr>
              <w:spacing w:after="20"/>
            </w:pPr>
            <w:r>
              <w:rPr>
                <w:sz w:val="15"/>
              </w:rPr>
            </w:r>
          </w:p>
        </w:tc>
      </w:tr>
    </w:tbl>
    <w:p>
      <w:pPr>
        <w:spacing w:after="0"/>
      </w:pPr>
    </w:p>
    <w:p>
      <w:pPr>
        <w:pStyle w:val="Heading2"/>
      </w:pPr>
      <w:r>
        <w:t>Material change assessment</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3024"/>
            <w:shd w:fill="16324F"/>
          </w:tcPr>
          <w:p>
            <w:r>
              <w:rPr>
                <w:b/>
                <w:color w:val="FFFFFF"/>
                <w:sz w:val="16"/>
              </w:rPr>
              <w:t>Change</w:t>
            </w:r>
          </w:p>
        </w:tc>
        <w:tc>
          <w:tcPr>
            <w:tcW w:type="dxa" w:w="3168"/>
            <w:shd w:fill="16324F"/>
          </w:tcPr>
          <w:p>
            <w:r>
              <w:rPr>
                <w:b/>
                <w:color w:val="FFFFFF"/>
                <w:sz w:val="16"/>
              </w:rPr>
              <w:t>Could alter exposure or application answer?</w:t>
            </w:r>
          </w:p>
        </w:tc>
        <w:tc>
          <w:tcPr>
            <w:tcW w:type="dxa" w:w="2448"/>
            <w:shd w:fill="16324F"/>
          </w:tcPr>
          <w:p>
            <w:r>
              <w:rPr>
                <w:b/>
                <w:color w:val="FFFFFF"/>
                <w:sz w:val="16"/>
              </w:rPr>
              <w:t>Required action</w:t>
            </w:r>
          </w:p>
        </w:tc>
        <w:tc>
          <w:tcPr>
            <w:tcW w:type="dxa" w:w="1584"/>
            <w:shd w:fill="16324F"/>
          </w:tcPr>
          <w:p>
            <w:r>
              <w:rPr>
                <w:b/>
                <w:color w:val="FFFFFF"/>
                <w:sz w:val="16"/>
              </w:rPr>
              <w:t>Decision owner</w:t>
            </w:r>
          </w:p>
        </w:tc>
      </w:tr>
      <w:tr>
        <w:tc>
          <w:tcPr>
            <w:tcW w:type="dxa" w:w="3024"/>
            <w:vAlign w:val="center"/>
          </w:tcPr>
          <w:p>
            <w:pPr>
              <w:spacing w:after="20"/>
            </w:pPr>
            <w:r>
              <w:rPr>
                <w:sz w:val="15"/>
              </w:rPr>
              <w:t>New acquisition or subsidiary</w:t>
            </w:r>
          </w:p>
        </w:tc>
        <w:tc>
          <w:tcPr>
            <w:tcW w:type="dxa" w:w="3168"/>
            <w:vAlign w:val="center"/>
          </w:tcPr>
          <w:p>
            <w:pPr>
              <w:spacing w:after="20"/>
            </w:pPr>
            <w:r>
              <w:rPr>
                <w:sz w:val="15"/>
              </w:rPr>
            </w:r>
          </w:p>
        </w:tc>
        <w:tc>
          <w:tcPr>
            <w:tcW w:type="dxa" w:w="2448"/>
            <w:vAlign w:val="center"/>
          </w:tcPr>
          <w:p>
            <w:pPr>
              <w:spacing w:after="20"/>
            </w:pPr>
            <w:r>
              <w:rPr>
                <w:sz w:val="15"/>
              </w:rPr>
            </w:r>
          </w:p>
        </w:tc>
        <w:tc>
          <w:tcPr>
            <w:tcW w:type="dxa" w:w="1584"/>
            <w:vAlign w:val="center"/>
          </w:tcPr>
          <w:p>
            <w:pPr>
              <w:spacing w:after="20"/>
            </w:pPr>
            <w:r>
              <w:rPr>
                <w:sz w:val="15"/>
              </w:rPr>
            </w:r>
          </w:p>
        </w:tc>
      </w:tr>
      <w:tr>
        <w:tc>
          <w:tcPr>
            <w:tcW w:type="dxa" w:w="3024"/>
            <w:vAlign w:val="center"/>
            <w:shd w:fill="EAF2F7"/>
          </w:tcPr>
          <w:p>
            <w:pPr>
              <w:spacing w:after="20"/>
            </w:pPr>
            <w:r>
              <w:rPr>
                <w:sz w:val="15"/>
              </w:rPr>
              <w:t>Material cloud migration or new critical vendor</w:t>
            </w:r>
          </w:p>
        </w:tc>
        <w:tc>
          <w:tcPr>
            <w:tcW w:type="dxa" w:w="3168"/>
            <w:vAlign w:val="center"/>
            <w:shd w:fill="EAF2F7"/>
          </w:tcPr>
          <w:p>
            <w:pPr>
              <w:spacing w:after="20"/>
            </w:pPr>
            <w:r>
              <w:rPr>
                <w:sz w:val="15"/>
              </w:rPr>
            </w:r>
          </w:p>
        </w:tc>
        <w:tc>
          <w:tcPr>
            <w:tcW w:type="dxa" w:w="2448"/>
            <w:vAlign w:val="center"/>
            <w:shd w:fill="EAF2F7"/>
          </w:tcPr>
          <w:p>
            <w:pPr>
              <w:spacing w:after="20"/>
            </w:pPr>
            <w:r>
              <w:rPr>
                <w:sz w:val="15"/>
              </w:rPr>
            </w:r>
          </w:p>
        </w:tc>
        <w:tc>
          <w:tcPr>
            <w:tcW w:type="dxa" w:w="1584"/>
            <w:vAlign w:val="center"/>
            <w:shd w:fill="EAF2F7"/>
          </w:tcPr>
          <w:p>
            <w:pPr>
              <w:spacing w:after="20"/>
            </w:pPr>
            <w:r>
              <w:rPr>
                <w:sz w:val="15"/>
              </w:rPr>
            </w:r>
          </w:p>
        </w:tc>
      </w:tr>
      <w:tr>
        <w:tc>
          <w:tcPr>
            <w:tcW w:type="dxa" w:w="3024"/>
            <w:vAlign w:val="center"/>
          </w:tcPr>
          <w:p>
            <w:pPr>
              <w:spacing w:after="20"/>
            </w:pPr>
            <w:r>
              <w:rPr>
                <w:sz w:val="15"/>
              </w:rPr>
              <w:t>Workforce reduction or security operating-model change</w:t>
            </w:r>
          </w:p>
        </w:tc>
        <w:tc>
          <w:tcPr>
            <w:tcW w:type="dxa" w:w="3168"/>
            <w:vAlign w:val="center"/>
          </w:tcPr>
          <w:p>
            <w:pPr>
              <w:spacing w:after="20"/>
            </w:pPr>
            <w:r>
              <w:rPr>
                <w:sz w:val="15"/>
              </w:rPr>
            </w:r>
          </w:p>
        </w:tc>
        <w:tc>
          <w:tcPr>
            <w:tcW w:type="dxa" w:w="2448"/>
            <w:vAlign w:val="center"/>
          </w:tcPr>
          <w:p>
            <w:pPr>
              <w:spacing w:after="20"/>
            </w:pPr>
            <w:r>
              <w:rPr>
                <w:sz w:val="15"/>
              </w:rPr>
            </w:r>
          </w:p>
        </w:tc>
        <w:tc>
          <w:tcPr>
            <w:tcW w:type="dxa" w:w="1584"/>
            <w:vAlign w:val="center"/>
          </w:tcPr>
          <w:p>
            <w:pPr>
              <w:spacing w:after="20"/>
            </w:pPr>
            <w:r>
              <w:rPr>
                <w:sz w:val="15"/>
              </w:rPr>
            </w:r>
          </w:p>
        </w:tc>
      </w:tr>
      <w:tr>
        <w:tc>
          <w:tcPr>
            <w:tcW w:type="dxa" w:w="3024"/>
            <w:vAlign w:val="center"/>
            <w:shd w:fill="EAF2F7"/>
          </w:tcPr>
          <w:p>
            <w:pPr>
              <w:spacing w:after="20"/>
            </w:pPr>
            <w:r>
              <w:rPr>
                <w:sz w:val="15"/>
              </w:rPr>
              <w:t>New sensitive-data processing or geography</w:t>
            </w:r>
          </w:p>
        </w:tc>
        <w:tc>
          <w:tcPr>
            <w:tcW w:type="dxa" w:w="3168"/>
            <w:vAlign w:val="center"/>
            <w:shd w:fill="EAF2F7"/>
          </w:tcPr>
          <w:p>
            <w:pPr>
              <w:spacing w:after="20"/>
            </w:pPr>
            <w:r>
              <w:rPr>
                <w:sz w:val="15"/>
              </w:rPr>
            </w:r>
          </w:p>
        </w:tc>
        <w:tc>
          <w:tcPr>
            <w:tcW w:type="dxa" w:w="2448"/>
            <w:vAlign w:val="center"/>
            <w:shd w:fill="EAF2F7"/>
          </w:tcPr>
          <w:p>
            <w:pPr>
              <w:spacing w:after="20"/>
            </w:pPr>
            <w:r>
              <w:rPr>
                <w:sz w:val="15"/>
              </w:rPr>
            </w:r>
          </w:p>
        </w:tc>
        <w:tc>
          <w:tcPr>
            <w:tcW w:type="dxa" w:w="1584"/>
            <w:vAlign w:val="center"/>
            <w:shd w:fill="EAF2F7"/>
          </w:tcPr>
          <w:p>
            <w:pPr>
              <w:spacing w:after="20"/>
            </w:pPr>
            <w:r>
              <w:rPr>
                <w:sz w:val="15"/>
              </w:rPr>
            </w:r>
          </w:p>
        </w:tc>
      </w:tr>
      <w:tr>
        <w:tc>
          <w:tcPr>
            <w:tcW w:type="dxa" w:w="3024"/>
            <w:vAlign w:val="center"/>
          </w:tcPr>
          <w:p>
            <w:pPr>
              <w:spacing w:after="20"/>
            </w:pPr>
            <w:r>
              <w:rPr>
                <w:sz w:val="15"/>
              </w:rPr>
              <w:t>Security incident, demand, claim, or known circumstance</w:t>
            </w:r>
          </w:p>
        </w:tc>
        <w:tc>
          <w:tcPr>
            <w:tcW w:type="dxa" w:w="3168"/>
            <w:vAlign w:val="center"/>
          </w:tcPr>
          <w:p>
            <w:pPr>
              <w:spacing w:after="20"/>
            </w:pPr>
            <w:r>
              <w:rPr>
                <w:sz w:val="15"/>
              </w:rPr>
            </w:r>
          </w:p>
        </w:tc>
        <w:tc>
          <w:tcPr>
            <w:tcW w:type="dxa" w:w="2448"/>
            <w:vAlign w:val="center"/>
          </w:tcPr>
          <w:p>
            <w:pPr>
              <w:spacing w:after="20"/>
            </w:pPr>
            <w:r>
              <w:rPr>
                <w:sz w:val="15"/>
              </w:rPr>
            </w:r>
          </w:p>
        </w:tc>
        <w:tc>
          <w:tcPr>
            <w:tcW w:type="dxa" w:w="1584"/>
            <w:vAlign w:val="center"/>
          </w:tcPr>
          <w:p>
            <w:pPr>
              <w:spacing w:after="20"/>
            </w:pPr>
            <w:r>
              <w:rPr>
                <w:sz w:val="15"/>
              </w:rPr>
            </w:r>
          </w:p>
        </w:tc>
      </w:tr>
    </w:tbl>
    <w:p>
      <w:pPr>
        <w:spacing w:after="0"/>
      </w:pPr>
    </w:p>
    <w:p>
      <w:r>
        <w:br w:type="page"/>
      </w:r>
    </w:p>
    <w:p>
      <w:pPr>
        <w:pStyle w:val="Heading1"/>
      </w:pPr>
      <w:r>
        <w:t>3. Underwriting control validation</w:t>
      </w:r>
    </w:p>
    <w:p>
      <w:r>
        <w:t>Rate each item: Implemented; Partially implemented; Not implemented; Not applicable (with rationale); or Unknown. Test operating effectiveness—not merely policy existence.</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rPr>
          <w:tblHeader w:val="true"/>
        </w:trPr>
        <w:tc>
          <w:tcPr>
            <w:tcW w:type="dxa" w:w="3888"/>
            <w:shd w:fill="16324F"/>
          </w:tcPr>
          <w:p>
            <w:r>
              <w:rPr>
                <w:b/>
                <w:color w:val="FFFFFF"/>
                <w:sz w:val="16"/>
              </w:rPr>
              <w:t>Control area / validation question</w:t>
            </w:r>
          </w:p>
        </w:tc>
        <w:tc>
          <w:tcPr>
            <w:tcW w:type="dxa" w:w="1008"/>
            <w:shd w:fill="16324F"/>
          </w:tcPr>
          <w:p>
            <w:r>
              <w:rPr>
                <w:b/>
                <w:color w:val="FFFFFF"/>
                <w:sz w:val="16"/>
              </w:rPr>
              <w:t>Status</w:t>
            </w:r>
          </w:p>
        </w:tc>
        <w:tc>
          <w:tcPr>
            <w:tcW w:type="dxa" w:w="1728"/>
            <w:shd w:fill="16324F"/>
          </w:tcPr>
          <w:p>
            <w:r>
              <w:rPr>
                <w:b/>
                <w:color w:val="FFFFFF"/>
                <w:sz w:val="16"/>
              </w:rPr>
              <w:t>Scope / exceptions</w:t>
            </w:r>
          </w:p>
        </w:tc>
        <w:tc>
          <w:tcPr>
            <w:tcW w:type="dxa" w:w="1944"/>
            <w:shd w:fill="16324F"/>
          </w:tcPr>
          <w:p>
            <w:r>
              <w:rPr>
                <w:b/>
                <w:color w:val="FFFFFF"/>
                <w:sz w:val="16"/>
              </w:rPr>
              <w:t>Evidence and date</w:t>
            </w:r>
          </w:p>
        </w:tc>
        <w:tc>
          <w:tcPr>
            <w:tcW w:type="dxa" w:w="936"/>
            <w:shd w:fill="16324F"/>
          </w:tcPr>
          <w:p>
            <w:r>
              <w:rPr>
                <w:b/>
                <w:color w:val="FFFFFF"/>
                <w:sz w:val="16"/>
              </w:rPr>
              <w:t>Owner</w:t>
            </w:r>
          </w:p>
        </w:tc>
        <w:tc>
          <w:tcPr>
            <w:tcW w:type="dxa" w:w="936"/>
            <w:shd w:fill="16324F"/>
          </w:tcPr>
          <w:p>
            <w:r>
              <w:rPr>
                <w:b/>
                <w:color w:val="FFFFFF"/>
                <w:sz w:val="16"/>
              </w:rPr>
              <w:t>CSF 2.0</w:t>
            </w:r>
          </w:p>
        </w:tc>
      </w:tr>
      <w:tr>
        <w:tc>
          <w:tcPr>
            <w:tcW w:type="dxa" w:w="3888"/>
            <w:vAlign w:val="center"/>
          </w:tcPr>
          <w:p>
            <w:pPr>
              <w:spacing w:after="20"/>
            </w:pPr>
            <w:r>
              <w:rPr>
                <w:sz w:val="15"/>
              </w:rPr>
              <w:t>MFA protects remote access, cloud administration, email, and privileged access.</w:t>
            </w:r>
          </w:p>
        </w:tc>
        <w:tc>
          <w:tcPr>
            <w:tcW w:type="dxa" w:w="1008"/>
            <w:vAlign w:val="center"/>
          </w:tcPr>
          <w:p>
            <w:pPr>
              <w:spacing w:after="20"/>
            </w:pPr>
            <w:r>
              <w:rPr>
                <w:sz w:val="15"/>
              </w:rPr>
            </w:r>
          </w:p>
        </w:tc>
        <w:tc>
          <w:tcPr>
            <w:tcW w:type="dxa" w:w="1728"/>
            <w:vAlign w:val="center"/>
          </w:tcPr>
          <w:p>
            <w:pPr>
              <w:spacing w:after="20"/>
            </w:pPr>
            <w:r>
              <w:rPr>
                <w:sz w:val="15"/>
              </w:rPr>
            </w:r>
          </w:p>
        </w:tc>
        <w:tc>
          <w:tcPr>
            <w:tcW w:type="dxa" w:w="1944"/>
            <w:vAlign w:val="center"/>
          </w:tcPr>
          <w:p>
            <w:pPr>
              <w:spacing w:after="20"/>
            </w:pPr>
            <w:r>
              <w:rPr>
                <w:sz w:val="15"/>
              </w:rPr>
            </w:r>
          </w:p>
        </w:tc>
        <w:tc>
          <w:tcPr>
            <w:tcW w:type="dxa" w:w="936"/>
            <w:vAlign w:val="center"/>
          </w:tcPr>
          <w:p>
            <w:pPr>
              <w:spacing w:after="20"/>
            </w:pPr>
            <w:r>
              <w:rPr>
                <w:sz w:val="15"/>
              </w:rPr>
            </w:r>
          </w:p>
        </w:tc>
        <w:tc>
          <w:tcPr>
            <w:tcW w:type="dxa" w:w="936"/>
            <w:vAlign w:val="center"/>
          </w:tcPr>
          <w:p>
            <w:pPr>
              <w:spacing w:after="20"/>
            </w:pPr>
            <w:r>
              <w:rPr>
                <w:sz w:val="15"/>
              </w:rPr>
              <w:t>PR.AA</w:t>
            </w:r>
          </w:p>
        </w:tc>
      </w:tr>
      <w:tr>
        <w:tc>
          <w:tcPr>
            <w:tcW w:type="dxa" w:w="3888"/>
            <w:vAlign w:val="center"/>
            <w:shd w:fill="EAF2F7"/>
          </w:tcPr>
          <w:p>
            <w:pPr>
              <w:spacing w:after="20"/>
            </w:pPr>
            <w:r>
              <w:rPr>
                <w:sz w:val="15"/>
              </w:rPr>
              <w:t>Privileged accounts are inventoried, separated, vaulted where appropriate, and reviewed.</w:t>
            </w:r>
          </w:p>
        </w:tc>
        <w:tc>
          <w:tcPr>
            <w:tcW w:type="dxa" w:w="1008"/>
            <w:vAlign w:val="center"/>
            <w:shd w:fill="EAF2F7"/>
          </w:tcPr>
          <w:p>
            <w:pPr>
              <w:spacing w:after="20"/>
            </w:pPr>
            <w:r>
              <w:rPr>
                <w:sz w:val="15"/>
              </w:rPr>
            </w:r>
          </w:p>
        </w:tc>
        <w:tc>
          <w:tcPr>
            <w:tcW w:type="dxa" w:w="1728"/>
            <w:vAlign w:val="center"/>
            <w:shd w:fill="EAF2F7"/>
          </w:tcPr>
          <w:p>
            <w:pPr>
              <w:spacing w:after="20"/>
            </w:pPr>
            <w:r>
              <w:rPr>
                <w:sz w:val="15"/>
              </w:rPr>
            </w:r>
          </w:p>
        </w:tc>
        <w:tc>
          <w:tcPr>
            <w:tcW w:type="dxa" w:w="1944"/>
            <w:vAlign w:val="center"/>
            <w:shd w:fill="EAF2F7"/>
          </w:tcPr>
          <w:p>
            <w:pPr>
              <w:spacing w:after="20"/>
            </w:pPr>
            <w:r>
              <w:rPr>
                <w:sz w:val="15"/>
              </w:rPr>
            </w:r>
          </w:p>
        </w:tc>
        <w:tc>
          <w:tcPr>
            <w:tcW w:type="dxa" w:w="936"/>
            <w:vAlign w:val="center"/>
            <w:shd w:fill="EAF2F7"/>
          </w:tcPr>
          <w:p>
            <w:pPr>
              <w:spacing w:after="20"/>
            </w:pPr>
            <w:r>
              <w:rPr>
                <w:sz w:val="15"/>
              </w:rPr>
            </w:r>
          </w:p>
        </w:tc>
        <w:tc>
          <w:tcPr>
            <w:tcW w:type="dxa" w:w="936"/>
            <w:vAlign w:val="center"/>
            <w:shd w:fill="EAF2F7"/>
          </w:tcPr>
          <w:p>
            <w:pPr>
              <w:spacing w:after="20"/>
            </w:pPr>
            <w:r>
              <w:rPr>
                <w:sz w:val="15"/>
              </w:rPr>
              <w:t>PR.AA</w:t>
            </w:r>
          </w:p>
        </w:tc>
      </w:tr>
      <w:tr>
        <w:tc>
          <w:tcPr>
            <w:tcW w:type="dxa" w:w="3888"/>
            <w:vAlign w:val="center"/>
          </w:tcPr>
          <w:p>
            <w:pPr>
              <w:spacing w:after="20"/>
            </w:pPr>
            <w:r>
              <w:rPr>
                <w:sz w:val="15"/>
              </w:rPr>
              <w:t>Endpoint detection and response covers supported endpoints and servers with monitored alerts.</w:t>
            </w:r>
          </w:p>
        </w:tc>
        <w:tc>
          <w:tcPr>
            <w:tcW w:type="dxa" w:w="1008"/>
            <w:vAlign w:val="center"/>
          </w:tcPr>
          <w:p>
            <w:pPr>
              <w:spacing w:after="20"/>
            </w:pPr>
            <w:r>
              <w:rPr>
                <w:sz w:val="15"/>
              </w:rPr>
            </w:r>
          </w:p>
        </w:tc>
        <w:tc>
          <w:tcPr>
            <w:tcW w:type="dxa" w:w="1728"/>
            <w:vAlign w:val="center"/>
          </w:tcPr>
          <w:p>
            <w:pPr>
              <w:spacing w:after="20"/>
            </w:pPr>
            <w:r>
              <w:rPr>
                <w:sz w:val="15"/>
              </w:rPr>
            </w:r>
          </w:p>
        </w:tc>
        <w:tc>
          <w:tcPr>
            <w:tcW w:type="dxa" w:w="1944"/>
            <w:vAlign w:val="center"/>
          </w:tcPr>
          <w:p>
            <w:pPr>
              <w:spacing w:after="20"/>
            </w:pPr>
            <w:r>
              <w:rPr>
                <w:sz w:val="15"/>
              </w:rPr>
            </w:r>
          </w:p>
        </w:tc>
        <w:tc>
          <w:tcPr>
            <w:tcW w:type="dxa" w:w="936"/>
            <w:vAlign w:val="center"/>
          </w:tcPr>
          <w:p>
            <w:pPr>
              <w:spacing w:after="20"/>
            </w:pPr>
            <w:r>
              <w:rPr>
                <w:sz w:val="15"/>
              </w:rPr>
            </w:r>
          </w:p>
        </w:tc>
        <w:tc>
          <w:tcPr>
            <w:tcW w:type="dxa" w:w="936"/>
            <w:vAlign w:val="center"/>
          </w:tcPr>
          <w:p>
            <w:pPr>
              <w:spacing w:after="20"/>
            </w:pPr>
            <w:r>
              <w:rPr>
                <w:sz w:val="15"/>
              </w:rPr>
              <w:t>DE.CM</w:t>
            </w:r>
          </w:p>
        </w:tc>
      </w:tr>
      <w:tr>
        <w:tc>
          <w:tcPr>
            <w:tcW w:type="dxa" w:w="3888"/>
            <w:vAlign w:val="center"/>
            <w:shd w:fill="EAF2F7"/>
          </w:tcPr>
          <w:p>
            <w:pPr>
              <w:spacing w:after="20"/>
            </w:pPr>
            <w:r>
              <w:rPr>
                <w:sz w:val="15"/>
              </w:rPr>
              <w:t>Security-relevant logs are centralized, time-synchronized, retained, and actively monitored.</w:t>
            </w:r>
          </w:p>
        </w:tc>
        <w:tc>
          <w:tcPr>
            <w:tcW w:type="dxa" w:w="1008"/>
            <w:vAlign w:val="center"/>
            <w:shd w:fill="EAF2F7"/>
          </w:tcPr>
          <w:p>
            <w:pPr>
              <w:spacing w:after="20"/>
            </w:pPr>
            <w:r>
              <w:rPr>
                <w:sz w:val="15"/>
              </w:rPr>
            </w:r>
          </w:p>
        </w:tc>
        <w:tc>
          <w:tcPr>
            <w:tcW w:type="dxa" w:w="1728"/>
            <w:vAlign w:val="center"/>
            <w:shd w:fill="EAF2F7"/>
          </w:tcPr>
          <w:p>
            <w:pPr>
              <w:spacing w:after="20"/>
            </w:pPr>
            <w:r>
              <w:rPr>
                <w:sz w:val="15"/>
              </w:rPr>
            </w:r>
          </w:p>
        </w:tc>
        <w:tc>
          <w:tcPr>
            <w:tcW w:type="dxa" w:w="1944"/>
            <w:vAlign w:val="center"/>
            <w:shd w:fill="EAF2F7"/>
          </w:tcPr>
          <w:p>
            <w:pPr>
              <w:spacing w:after="20"/>
            </w:pPr>
            <w:r>
              <w:rPr>
                <w:sz w:val="15"/>
              </w:rPr>
            </w:r>
          </w:p>
        </w:tc>
        <w:tc>
          <w:tcPr>
            <w:tcW w:type="dxa" w:w="936"/>
            <w:vAlign w:val="center"/>
            <w:shd w:fill="EAF2F7"/>
          </w:tcPr>
          <w:p>
            <w:pPr>
              <w:spacing w:after="20"/>
            </w:pPr>
            <w:r>
              <w:rPr>
                <w:sz w:val="15"/>
              </w:rPr>
            </w:r>
          </w:p>
        </w:tc>
        <w:tc>
          <w:tcPr>
            <w:tcW w:type="dxa" w:w="936"/>
            <w:vAlign w:val="center"/>
            <w:shd w:fill="EAF2F7"/>
          </w:tcPr>
          <w:p>
            <w:pPr>
              <w:spacing w:after="20"/>
            </w:pPr>
            <w:r>
              <w:rPr>
                <w:sz w:val="15"/>
              </w:rPr>
              <w:t>DE.CM</w:t>
            </w:r>
          </w:p>
        </w:tc>
      </w:tr>
      <w:tr>
        <w:tc>
          <w:tcPr>
            <w:tcW w:type="dxa" w:w="3888"/>
            <w:vAlign w:val="center"/>
          </w:tcPr>
          <w:p>
            <w:pPr>
              <w:spacing w:after="20"/>
            </w:pPr>
            <w:r>
              <w:rPr>
                <w:sz w:val="15"/>
              </w:rPr>
              <w:t>Critical vulnerabilities have risk-based remediation targets, exception approval, and aging review.</w:t>
            </w:r>
          </w:p>
        </w:tc>
        <w:tc>
          <w:tcPr>
            <w:tcW w:type="dxa" w:w="1008"/>
            <w:vAlign w:val="center"/>
          </w:tcPr>
          <w:p>
            <w:pPr>
              <w:spacing w:after="20"/>
            </w:pPr>
            <w:r>
              <w:rPr>
                <w:sz w:val="15"/>
              </w:rPr>
            </w:r>
          </w:p>
        </w:tc>
        <w:tc>
          <w:tcPr>
            <w:tcW w:type="dxa" w:w="1728"/>
            <w:vAlign w:val="center"/>
          </w:tcPr>
          <w:p>
            <w:pPr>
              <w:spacing w:after="20"/>
            </w:pPr>
            <w:r>
              <w:rPr>
                <w:sz w:val="15"/>
              </w:rPr>
            </w:r>
          </w:p>
        </w:tc>
        <w:tc>
          <w:tcPr>
            <w:tcW w:type="dxa" w:w="1944"/>
            <w:vAlign w:val="center"/>
          </w:tcPr>
          <w:p>
            <w:pPr>
              <w:spacing w:after="20"/>
            </w:pPr>
            <w:r>
              <w:rPr>
                <w:sz w:val="15"/>
              </w:rPr>
            </w:r>
          </w:p>
        </w:tc>
        <w:tc>
          <w:tcPr>
            <w:tcW w:type="dxa" w:w="936"/>
            <w:vAlign w:val="center"/>
          </w:tcPr>
          <w:p>
            <w:pPr>
              <w:spacing w:after="20"/>
            </w:pPr>
            <w:r>
              <w:rPr>
                <w:sz w:val="15"/>
              </w:rPr>
            </w:r>
          </w:p>
        </w:tc>
        <w:tc>
          <w:tcPr>
            <w:tcW w:type="dxa" w:w="936"/>
            <w:vAlign w:val="center"/>
          </w:tcPr>
          <w:p>
            <w:pPr>
              <w:spacing w:after="20"/>
            </w:pPr>
            <w:r>
              <w:rPr>
                <w:sz w:val="15"/>
              </w:rPr>
              <w:t>ID.RA / PR.PS</w:t>
            </w:r>
          </w:p>
        </w:tc>
      </w:tr>
      <w:tr>
        <w:tc>
          <w:tcPr>
            <w:tcW w:type="dxa" w:w="3888"/>
            <w:vAlign w:val="center"/>
            <w:shd w:fill="EAF2F7"/>
          </w:tcPr>
          <w:p>
            <w:pPr>
              <w:spacing w:after="20"/>
            </w:pPr>
            <w:r>
              <w:rPr>
                <w:sz w:val="15"/>
              </w:rPr>
              <w:t>External attack surface and internet-facing assets are inventoried and scanned.</w:t>
            </w:r>
          </w:p>
        </w:tc>
        <w:tc>
          <w:tcPr>
            <w:tcW w:type="dxa" w:w="1008"/>
            <w:vAlign w:val="center"/>
            <w:shd w:fill="EAF2F7"/>
          </w:tcPr>
          <w:p>
            <w:pPr>
              <w:spacing w:after="20"/>
            </w:pPr>
            <w:r>
              <w:rPr>
                <w:sz w:val="15"/>
              </w:rPr>
            </w:r>
          </w:p>
        </w:tc>
        <w:tc>
          <w:tcPr>
            <w:tcW w:type="dxa" w:w="1728"/>
            <w:vAlign w:val="center"/>
            <w:shd w:fill="EAF2F7"/>
          </w:tcPr>
          <w:p>
            <w:pPr>
              <w:spacing w:after="20"/>
            </w:pPr>
            <w:r>
              <w:rPr>
                <w:sz w:val="15"/>
              </w:rPr>
            </w:r>
          </w:p>
        </w:tc>
        <w:tc>
          <w:tcPr>
            <w:tcW w:type="dxa" w:w="1944"/>
            <w:vAlign w:val="center"/>
            <w:shd w:fill="EAF2F7"/>
          </w:tcPr>
          <w:p>
            <w:pPr>
              <w:spacing w:after="20"/>
            </w:pPr>
            <w:r>
              <w:rPr>
                <w:sz w:val="15"/>
              </w:rPr>
            </w:r>
          </w:p>
        </w:tc>
        <w:tc>
          <w:tcPr>
            <w:tcW w:type="dxa" w:w="936"/>
            <w:vAlign w:val="center"/>
            <w:shd w:fill="EAF2F7"/>
          </w:tcPr>
          <w:p>
            <w:pPr>
              <w:spacing w:after="20"/>
            </w:pPr>
            <w:r>
              <w:rPr>
                <w:sz w:val="15"/>
              </w:rPr>
            </w:r>
          </w:p>
        </w:tc>
        <w:tc>
          <w:tcPr>
            <w:tcW w:type="dxa" w:w="936"/>
            <w:vAlign w:val="center"/>
            <w:shd w:fill="EAF2F7"/>
          </w:tcPr>
          <w:p>
            <w:pPr>
              <w:spacing w:after="20"/>
            </w:pPr>
            <w:r>
              <w:rPr>
                <w:sz w:val="15"/>
              </w:rPr>
              <w:t>ID.AM / DE.CM</w:t>
            </w:r>
          </w:p>
        </w:tc>
      </w:tr>
      <w:tr>
        <w:tc>
          <w:tcPr>
            <w:tcW w:type="dxa" w:w="3888"/>
            <w:vAlign w:val="center"/>
          </w:tcPr>
          <w:p>
            <w:pPr>
              <w:spacing w:after="20"/>
            </w:pPr>
            <w:r>
              <w:rPr>
                <w:sz w:val="15"/>
              </w:rPr>
              <w:t>Backups are isolated or immutable, access-controlled, monitored, and restoration-tested.</w:t>
            </w:r>
          </w:p>
        </w:tc>
        <w:tc>
          <w:tcPr>
            <w:tcW w:type="dxa" w:w="1008"/>
            <w:vAlign w:val="center"/>
          </w:tcPr>
          <w:p>
            <w:pPr>
              <w:spacing w:after="20"/>
            </w:pPr>
            <w:r>
              <w:rPr>
                <w:sz w:val="15"/>
              </w:rPr>
            </w:r>
          </w:p>
        </w:tc>
        <w:tc>
          <w:tcPr>
            <w:tcW w:type="dxa" w:w="1728"/>
            <w:vAlign w:val="center"/>
          </w:tcPr>
          <w:p>
            <w:pPr>
              <w:spacing w:after="20"/>
            </w:pPr>
            <w:r>
              <w:rPr>
                <w:sz w:val="15"/>
              </w:rPr>
            </w:r>
          </w:p>
        </w:tc>
        <w:tc>
          <w:tcPr>
            <w:tcW w:type="dxa" w:w="1944"/>
            <w:vAlign w:val="center"/>
          </w:tcPr>
          <w:p>
            <w:pPr>
              <w:spacing w:after="20"/>
            </w:pPr>
            <w:r>
              <w:rPr>
                <w:sz w:val="15"/>
              </w:rPr>
            </w:r>
          </w:p>
        </w:tc>
        <w:tc>
          <w:tcPr>
            <w:tcW w:type="dxa" w:w="936"/>
            <w:vAlign w:val="center"/>
          </w:tcPr>
          <w:p>
            <w:pPr>
              <w:spacing w:after="20"/>
            </w:pPr>
            <w:r>
              <w:rPr>
                <w:sz w:val="15"/>
              </w:rPr>
            </w:r>
          </w:p>
        </w:tc>
        <w:tc>
          <w:tcPr>
            <w:tcW w:type="dxa" w:w="936"/>
            <w:vAlign w:val="center"/>
          </w:tcPr>
          <w:p>
            <w:pPr>
              <w:spacing w:after="20"/>
            </w:pPr>
            <w:r>
              <w:rPr>
                <w:sz w:val="15"/>
              </w:rPr>
              <w:t>PR.DS / RC.RP</w:t>
            </w:r>
          </w:p>
        </w:tc>
      </w:tr>
      <w:tr>
        <w:tc>
          <w:tcPr>
            <w:tcW w:type="dxa" w:w="3888"/>
            <w:vAlign w:val="center"/>
            <w:shd w:fill="EAF2F7"/>
          </w:tcPr>
          <w:p>
            <w:pPr>
              <w:spacing w:after="20"/>
            </w:pPr>
            <w:r>
              <w:rPr>
                <w:sz w:val="15"/>
              </w:rPr>
              <w:t>Email controls address impersonation, phishing, malicious links/attachments, SPF, DKIM, and DMARC.</w:t>
            </w:r>
          </w:p>
        </w:tc>
        <w:tc>
          <w:tcPr>
            <w:tcW w:type="dxa" w:w="1008"/>
            <w:vAlign w:val="center"/>
            <w:shd w:fill="EAF2F7"/>
          </w:tcPr>
          <w:p>
            <w:pPr>
              <w:spacing w:after="20"/>
            </w:pPr>
            <w:r>
              <w:rPr>
                <w:sz w:val="15"/>
              </w:rPr>
            </w:r>
          </w:p>
        </w:tc>
        <w:tc>
          <w:tcPr>
            <w:tcW w:type="dxa" w:w="1728"/>
            <w:vAlign w:val="center"/>
            <w:shd w:fill="EAF2F7"/>
          </w:tcPr>
          <w:p>
            <w:pPr>
              <w:spacing w:after="20"/>
            </w:pPr>
            <w:r>
              <w:rPr>
                <w:sz w:val="15"/>
              </w:rPr>
            </w:r>
          </w:p>
        </w:tc>
        <w:tc>
          <w:tcPr>
            <w:tcW w:type="dxa" w:w="1944"/>
            <w:vAlign w:val="center"/>
            <w:shd w:fill="EAF2F7"/>
          </w:tcPr>
          <w:p>
            <w:pPr>
              <w:spacing w:after="20"/>
            </w:pPr>
            <w:r>
              <w:rPr>
                <w:sz w:val="15"/>
              </w:rPr>
            </w:r>
          </w:p>
        </w:tc>
        <w:tc>
          <w:tcPr>
            <w:tcW w:type="dxa" w:w="936"/>
            <w:vAlign w:val="center"/>
            <w:shd w:fill="EAF2F7"/>
          </w:tcPr>
          <w:p>
            <w:pPr>
              <w:spacing w:after="20"/>
            </w:pPr>
            <w:r>
              <w:rPr>
                <w:sz w:val="15"/>
              </w:rPr>
            </w:r>
          </w:p>
        </w:tc>
        <w:tc>
          <w:tcPr>
            <w:tcW w:type="dxa" w:w="936"/>
            <w:vAlign w:val="center"/>
            <w:shd w:fill="EAF2F7"/>
          </w:tcPr>
          <w:p>
            <w:pPr>
              <w:spacing w:after="20"/>
            </w:pPr>
            <w:r>
              <w:rPr>
                <w:sz w:val="15"/>
              </w:rPr>
              <w:t>PR.DS / DE.CM</w:t>
            </w:r>
          </w:p>
        </w:tc>
      </w:tr>
      <w:tr>
        <w:tc>
          <w:tcPr>
            <w:tcW w:type="dxa" w:w="3888"/>
            <w:vAlign w:val="center"/>
          </w:tcPr>
          <w:p>
            <w:pPr>
              <w:spacing w:after="20"/>
            </w:pPr>
            <w:r>
              <w:rPr>
                <w:sz w:val="15"/>
              </w:rPr>
              <w:t>Security awareness includes phishing exercises and role-based training.</w:t>
            </w:r>
          </w:p>
        </w:tc>
        <w:tc>
          <w:tcPr>
            <w:tcW w:type="dxa" w:w="1008"/>
            <w:vAlign w:val="center"/>
          </w:tcPr>
          <w:p>
            <w:pPr>
              <w:spacing w:after="20"/>
            </w:pPr>
            <w:r>
              <w:rPr>
                <w:sz w:val="15"/>
              </w:rPr>
            </w:r>
          </w:p>
        </w:tc>
        <w:tc>
          <w:tcPr>
            <w:tcW w:type="dxa" w:w="1728"/>
            <w:vAlign w:val="center"/>
          </w:tcPr>
          <w:p>
            <w:pPr>
              <w:spacing w:after="20"/>
            </w:pPr>
            <w:r>
              <w:rPr>
                <w:sz w:val="15"/>
              </w:rPr>
            </w:r>
          </w:p>
        </w:tc>
        <w:tc>
          <w:tcPr>
            <w:tcW w:type="dxa" w:w="1944"/>
            <w:vAlign w:val="center"/>
          </w:tcPr>
          <w:p>
            <w:pPr>
              <w:spacing w:after="20"/>
            </w:pPr>
            <w:r>
              <w:rPr>
                <w:sz w:val="15"/>
              </w:rPr>
            </w:r>
          </w:p>
        </w:tc>
        <w:tc>
          <w:tcPr>
            <w:tcW w:type="dxa" w:w="936"/>
            <w:vAlign w:val="center"/>
          </w:tcPr>
          <w:p>
            <w:pPr>
              <w:spacing w:after="20"/>
            </w:pPr>
            <w:r>
              <w:rPr>
                <w:sz w:val="15"/>
              </w:rPr>
            </w:r>
          </w:p>
        </w:tc>
        <w:tc>
          <w:tcPr>
            <w:tcW w:type="dxa" w:w="936"/>
            <w:vAlign w:val="center"/>
          </w:tcPr>
          <w:p>
            <w:pPr>
              <w:spacing w:after="20"/>
            </w:pPr>
            <w:r>
              <w:rPr>
                <w:sz w:val="15"/>
              </w:rPr>
              <w:t>PR.AT</w:t>
            </w:r>
          </w:p>
        </w:tc>
      </w:tr>
      <w:tr>
        <w:tc>
          <w:tcPr>
            <w:tcW w:type="dxa" w:w="3888"/>
            <w:vAlign w:val="center"/>
            <w:shd w:fill="EAF2F7"/>
          </w:tcPr>
          <w:p>
            <w:pPr>
              <w:spacing w:after="20"/>
            </w:pPr>
            <w:r>
              <w:rPr>
                <w:sz w:val="15"/>
              </w:rPr>
              <w:t>Incident response plans are current, exercised, and include insurer/broker/breach-counsel contacts.</w:t>
            </w:r>
          </w:p>
        </w:tc>
        <w:tc>
          <w:tcPr>
            <w:tcW w:type="dxa" w:w="1008"/>
            <w:vAlign w:val="center"/>
            <w:shd w:fill="EAF2F7"/>
          </w:tcPr>
          <w:p>
            <w:pPr>
              <w:spacing w:after="20"/>
            </w:pPr>
            <w:r>
              <w:rPr>
                <w:sz w:val="15"/>
              </w:rPr>
            </w:r>
          </w:p>
        </w:tc>
        <w:tc>
          <w:tcPr>
            <w:tcW w:type="dxa" w:w="1728"/>
            <w:vAlign w:val="center"/>
            <w:shd w:fill="EAF2F7"/>
          </w:tcPr>
          <w:p>
            <w:pPr>
              <w:spacing w:after="20"/>
            </w:pPr>
            <w:r>
              <w:rPr>
                <w:sz w:val="15"/>
              </w:rPr>
            </w:r>
          </w:p>
        </w:tc>
        <w:tc>
          <w:tcPr>
            <w:tcW w:type="dxa" w:w="1944"/>
            <w:vAlign w:val="center"/>
            <w:shd w:fill="EAF2F7"/>
          </w:tcPr>
          <w:p>
            <w:pPr>
              <w:spacing w:after="20"/>
            </w:pPr>
            <w:r>
              <w:rPr>
                <w:sz w:val="15"/>
              </w:rPr>
            </w:r>
          </w:p>
        </w:tc>
        <w:tc>
          <w:tcPr>
            <w:tcW w:type="dxa" w:w="936"/>
            <w:vAlign w:val="center"/>
            <w:shd w:fill="EAF2F7"/>
          </w:tcPr>
          <w:p>
            <w:pPr>
              <w:spacing w:after="20"/>
            </w:pPr>
            <w:r>
              <w:rPr>
                <w:sz w:val="15"/>
              </w:rPr>
            </w:r>
          </w:p>
        </w:tc>
        <w:tc>
          <w:tcPr>
            <w:tcW w:type="dxa" w:w="936"/>
            <w:vAlign w:val="center"/>
            <w:shd w:fill="EAF2F7"/>
          </w:tcPr>
          <w:p>
            <w:pPr>
              <w:spacing w:after="20"/>
            </w:pPr>
            <w:r>
              <w:rPr>
                <w:sz w:val="15"/>
              </w:rPr>
              <w:t>RS.MA / RS.RP</w:t>
            </w:r>
          </w:p>
        </w:tc>
      </w:tr>
      <w:tr>
        <w:tc>
          <w:tcPr>
            <w:tcW w:type="dxa" w:w="3888"/>
            <w:vAlign w:val="center"/>
          </w:tcPr>
          <w:p>
            <w:pPr>
              <w:spacing w:after="20"/>
            </w:pPr>
            <w:r>
              <w:rPr>
                <w:sz w:val="15"/>
              </w:rPr>
              <w:t>Critical vendors undergo risk-based diligence, contracting, monitoring, and incident coordination.</w:t>
            </w:r>
          </w:p>
        </w:tc>
        <w:tc>
          <w:tcPr>
            <w:tcW w:type="dxa" w:w="1008"/>
            <w:vAlign w:val="center"/>
          </w:tcPr>
          <w:p>
            <w:pPr>
              <w:spacing w:after="20"/>
            </w:pPr>
            <w:r>
              <w:rPr>
                <w:sz w:val="15"/>
              </w:rPr>
            </w:r>
          </w:p>
        </w:tc>
        <w:tc>
          <w:tcPr>
            <w:tcW w:type="dxa" w:w="1728"/>
            <w:vAlign w:val="center"/>
          </w:tcPr>
          <w:p>
            <w:pPr>
              <w:spacing w:after="20"/>
            </w:pPr>
            <w:r>
              <w:rPr>
                <w:sz w:val="15"/>
              </w:rPr>
            </w:r>
          </w:p>
        </w:tc>
        <w:tc>
          <w:tcPr>
            <w:tcW w:type="dxa" w:w="1944"/>
            <w:vAlign w:val="center"/>
          </w:tcPr>
          <w:p>
            <w:pPr>
              <w:spacing w:after="20"/>
            </w:pPr>
            <w:r>
              <w:rPr>
                <w:sz w:val="15"/>
              </w:rPr>
            </w:r>
          </w:p>
        </w:tc>
        <w:tc>
          <w:tcPr>
            <w:tcW w:type="dxa" w:w="936"/>
            <w:vAlign w:val="center"/>
          </w:tcPr>
          <w:p>
            <w:pPr>
              <w:spacing w:after="20"/>
            </w:pPr>
            <w:r>
              <w:rPr>
                <w:sz w:val="15"/>
              </w:rPr>
            </w:r>
          </w:p>
        </w:tc>
        <w:tc>
          <w:tcPr>
            <w:tcW w:type="dxa" w:w="936"/>
            <w:vAlign w:val="center"/>
          </w:tcPr>
          <w:p>
            <w:pPr>
              <w:spacing w:after="20"/>
            </w:pPr>
            <w:r>
              <w:rPr>
                <w:sz w:val="15"/>
              </w:rPr>
              <w:t>GV.SC</w:t>
            </w:r>
          </w:p>
        </w:tc>
      </w:tr>
      <w:tr>
        <w:tc>
          <w:tcPr>
            <w:tcW w:type="dxa" w:w="3888"/>
            <w:vAlign w:val="center"/>
            <w:shd w:fill="EAF2F7"/>
          </w:tcPr>
          <w:p>
            <w:pPr>
              <w:spacing w:after="20"/>
            </w:pPr>
            <w:r>
              <w:rPr>
                <w:sz w:val="15"/>
              </w:rPr>
              <w:t>Sensitive data is inventoried, minimized, encrypted as appropriate, and retained under schedule.</w:t>
            </w:r>
          </w:p>
        </w:tc>
        <w:tc>
          <w:tcPr>
            <w:tcW w:type="dxa" w:w="1008"/>
            <w:vAlign w:val="center"/>
            <w:shd w:fill="EAF2F7"/>
          </w:tcPr>
          <w:p>
            <w:pPr>
              <w:spacing w:after="20"/>
            </w:pPr>
            <w:r>
              <w:rPr>
                <w:sz w:val="15"/>
              </w:rPr>
            </w:r>
          </w:p>
        </w:tc>
        <w:tc>
          <w:tcPr>
            <w:tcW w:type="dxa" w:w="1728"/>
            <w:vAlign w:val="center"/>
            <w:shd w:fill="EAF2F7"/>
          </w:tcPr>
          <w:p>
            <w:pPr>
              <w:spacing w:after="20"/>
            </w:pPr>
            <w:r>
              <w:rPr>
                <w:sz w:val="15"/>
              </w:rPr>
            </w:r>
          </w:p>
        </w:tc>
        <w:tc>
          <w:tcPr>
            <w:tcW w:type="dxa" w:w="1944"/>
            <w:vAlign w:val="center"/>
            <w:shd w:fill="EAF2F7"/>
          </w:tcPr>
          <w:p>
            <w:pPr>
              <w:spacing w:after="20"/>
            </w:pPr>
            <w:r>
              <w:rPr>
                <w:sz w:val="15"/>
              </w:rPr>
            </w:r>
          </w:p>
        </w:tc>
        <w:tc>
          <w:tcPr>
            <w:tcW w:type="dxa" w:w="936"/>
            <w:vAlign w:val="center"/>
            <w:shd w:fill="EAF2F7"/>
          </w:tcPr>
          <w:p>
            <w:pPr>
              <w:spacing w:after="20"/>
            </w:pPr>
            <w:r>
              <w:rPr>
                <w:sz w:val="15"/>
              </w:rPr>
            </w:r>
          </w:p>
        </w:tc>
        <w:tc>
          <w:tcPr>
            <w:tcW w:type="dxa" w:w="936"/>
            <w:vAlign w:val="center"/>
            <w:shd w:fill="EAF2F7"/>
          </w:tcPr>
          <w:p>
            <w:pPr>
              <w:spacing w:after="20"/>
            </w:pPr>
            <w:r>
              <w:rPr>
                <w:sz w:val="15"/>
              </w:rPr>
              <w:t>ID.AM / PR.DS</w:t>
            </w:r>
          </w:p>
        </w:tc>
      </w:tr>
      <w:tr>
        <w:tc>
          <w:tcPr>
            <w:tcW w:type="dxa" w:w="3888"/>
            <w:vAlign w:val="center"/>
          </w:tcPr>
          <w:p>
            <w:pPr>
              <w:spacing w:after="20"/>
            </w:pPr>
            <w:r>
              <w:rPr>
                <w:sz w:val="15"/>
              </w:rPr>
              <w:t>Secure configuration baselines and change controls cover critical systems and cloud services.</w:t>
            </w:r>
          </w:p>
        </w:tc>
        <w:tc>
          <w:tcPr>
            <w:tcW w:type="dxa" w:w="1008"/>
            <w:vAlign w:val="center"/>
          </w:tcPr>
          <w:p>
            <w:pPr>
              <w:spacing w:after="20"/>
            </w:pPr>
            <w:r>
              <w:rPr>
                <w:sz w:val="15"/>
              </w:rPr>
            </w:r>
          </w:p>
        </w:tc>
        <w:tc>
          <w:tcPr>
            <w:tcW w:type="dxa" w:w="1728"/>
            <w:vAlign w:val="center"/>
          </w:tcPr>
          <w:p>
            <w:pPr>
              <w:spacing w:after="20"/>
            </w:pPr>
            <w:r>
              <w:rPr>
                <w:sz w:val="15"/>
              </w:rPr>
            </w:r>
          </w:p>
        </w:tc>
        <w:tc>
          <w:tcPr>
            <w:tcW w:type="dxa" w:w="1944"/>
            <w:vAlign w:val="center"/>
          </w:tcPr>
          <w:p>
            <w:pPr>
              <w:spacing w:after="20"/>
            </w:pPr>
            <w:r>
              <w:rPr>
                <w:sz w:val="15"/>
              </w:rPr>
            </w:r>
          </w:p>
        </w:tc>
        <w:tc>
          <w:tcPr>
            <w:tcW w:type="dxa" w:w="936"/>
            <w:vAlign w:val="center"/>
          </w:tcPr>
          <w:p>
            <w:pPr>
              <w:spacing w:after="20"/>
            </w:pPr>
            <w:r>
              <w:rPr>
                <w:sz w:val="15"/>
              </w:rPr>
            </w:r>
          </w:p>
        </w:tc>
        <w:tc>
          <w:tcPr>
            <w:tcW w:type="dxa" w:w="936"/>
            <w:vAlign w:val="center"/>
          </w:tcPr>
          <w:p>
            <w:pPr>
              <w:spacing w:after="20"/>
            </w:pPr>
            <w:r>
              <w:rPr>
                <w:sz w:val="15"/>
              </w:rPr>
              <w:t>PR.PS</w:t>
            </w:r>
          </w:p>
        </w:tc>
      </w:tr>
      <w:tr>
        <w:tc>
          <w:tcPr>
            <w:tcW w:type="dxa" w:w="3888"/>
            <w:vAlign w:val="center"/>
            <w:shd w:fill="EAF2F7"/>
          </w:tcPr>
          <w:p>
            <w:pPr>
              <w:spacing w:after="20"/>
            </w:pPr>
            <w:r>
              <w:rPr>
                <w:sz w:val="15"/>
              </w:rPr>
              <w:t>Business continuity and disaster recovery objectives are defined and exercised.</w:t>
            </w:r>
          </w:p>
        </w:tc>
        <w:tc>
          <w:tcPr>
            <w:tcW w:type="dxa" w:w="1008"/>
            <w:vAlign w:val="center"/>
            <w:shd w:fill="EAF2F7"/>
          </w:tcPr>
          <w:p>
            <w:pPr>
              <w:spacing w:after="20"/>
            </w:pPr>
            <w:r>
              <w:rPr>
                <w:sz w:val="15"/>
              </w:rPr>
            </w:r>
          </w:p>
        </w:tc>
        <w:tc>
          <w:tcPr>
            <w:tcW w:type="dxa" w:w="1728"/>
            <w:vAlign w:val="center"/>
            <w:shd w:fill="EAF2F7"/>
          </w:tcPr>
          <w:p>
            <w:pPr>
              <w:spacing w:after="20"/>
            </w:pPr>
            <w:r>
              <w:rPr>
                <w:sz w:val="15"/>
              </w:rPr>
            </w:r>
          </w:p>
        </w:tc>
        <w:tc>
          <w:tcPr>
            <w:tcW w:type="dxa" w:w="1944"/>
            <w:vAlign w:val="center"/>
            <w:shd w:fill="EAF2F7"/>
          </w:tcPr>
          <w:p>
            <w:pPr>
              <w:spacing w:after="20"/>
            </w:pPr>
            <w:r>
              <w:rPr>
                <w:sz w:val="15"/>
              </w:rPr>
            </w:r>
          </w:p>
        </w:tc>
        <w:tc>
          <w:tcPr>
            <w:tcW w:type="dxa" w:w="936"/>
            <w:vAlign w:val="center"/>
            <w:shd w:fill="EAF2F7"/>
          </w:tcPr>
          <w:p>
            <w:pPr>
              <w:spacing w:after="20"/>
            </w:pPr>
            <w:r>
              <w:rPr>
                <w:sz w:val="15"/>
              </w:rPr>
            </w:r>
          </w:p>
        </w:tc>
        <w:tc>
          <w:tcPr>
            <w:tcW w:type="dxa" w:w="936"/>
            <w:vAlign w:val="center"/>
            <w:shd w:fill="EAF2F7"/>
          </w:tcPr>
          <w:p>
            <w:pPr>
              <w:spacing w:after="20"/>
            </w:pPr>
            <w:r>
              <w:rPr>
                <w:sz w:val="15"/>
              </w:rPr>
              <w:t>RC.RP</w:t>
            </w:r>
          </w:p>
        </w:tc>
      </w:tr>
    </w:tbl>
    <w:p>
      <w:pPr>
        <w:spacing w:after="0"/>
      </w:pPr>
    </w:p>
    <w:p>
      <w:r>
        <w:br w:type="page"/>
      </w:r>
    </w:p>
    <w:p>
      <w:pPr>
        <w:pStyle w:val="Heading1"/>
      </w:pPr>
      <w:r>
        <w:t>4. Evidence index</w:t>
      </w:r>
    </w:p>
    <w:p>
      <w:r>
        <w:t>Store evidence in an access-controlled repository. Use snapshots or exports that show scope, configuration, date, and source. Avoid sending sensitive technical details unless requested through an approved secure channel.</w:t>
      </w:r>
    </w:p>
    <w:tbl>
      <w:tblPr>
        <w:tblStyle w:val="TableGrid"/>
        <w:tblW w:type="auto" w:w="0"/>
        <w:jc w:val="center"/>
        <w:tblLook w:firstColumn="1" w:firstRow="1" w:lastColumn="0" w:lastRow="0" w:noHBand="0" w:noVBand="1" w:val="04A0"/>
      </w:tblPr>
      <w:tblGrid>
        <w:gridCol w:w="1461"/>
        <w:gridCol w:w="1461"/>
        <w:gridCol w:w="1461"/>
        <w:gridCol w:w="1461"/>
        <w:gridCol w:w="1461"/>
        <w:gridCol w:w="1461"/>
        <w:gridCol w:w="1461"/>
      </w:tblGrid>
      <w:tr>
        <w:trPr>
          <w:tblHeader w:val="true"/>
        </w:trPr>
        <w:tc>
          <w:tcPr>
            <w:tcW w:type="dxa" w:w="792"/>
            <w:shd w:fill="16324F"/>
          </w:tcPr>
          <w:p>
            <w:r>
              <w:rPr>
                <w:b/>
                <w:color w:val="FFFFFF"/>
                <w:sz w:val="16"/>
              </w:rPr>
              <w:t>ID</w:t>
            </w:r>
          </w:p>
        </w:tc>
        <w:tc>
          <w:tcPr>
            <w:tcW w:type="dxa" w:w="2088"/>
            <w:shd w:fill="16324F"/>
          </w:tcPr>
          <w:p>
            <w:r>
              <w:rPr>
                <w:b/>
                <w:color w:val="FFFFFF"/>
                <w:sz w:val="16"/>
              </w:rPr>
              <w:t>Application question / control</w:t>
            </w:r>
          </w:p>
        </w:tc>
        <w:tc>
          <w:tcPr>
            <w:tcW w:type="dxa" w:w="2952"/>
            <w:shd w:fill="16324F"/>
          </w:tcPr>
          <w:p>
            <w:r>
              <w:rPr>
                <w:b/>
                <w:color w:val="FFFFFF"/>
                <w:sz w:val="16"/>
              </w:rPr>
              <w:t>Evidence artifact</w:t>
            </w:r>
          </w:p>
        </w:tc>
        <w:tc>
          <w:tcPr>
            <w:tcW w:type="dxa" w:w="1080"/>
            <w:shd w:fill="16324F"/>
          </w:tcPr>
          <w:p>
            <w:r>
              <w:rPr>
                <w:b/>
                <w:color w:val="FFFFFF"/>
                <w:sz w:val="16"/>
              </w:rPr>
              <w:t>As-of date</w:t>
            </w:r>
          </w:p>
        </w:tc>
        <w:tc>
          <w:tcPr>
            <w:tcW w:type="dxa" w:w="1656"/>
            <w:shd w:fill="16324F"/>
          </w:tcPr>
          <w:p>
            <w:r>
              <w:rPr>
                <w:b/>
                <w:color w:val="FFFFFF"/>
                <w:sz w:val="16"/>
              </w:rPr>
              <w:t>Repository link</w:t>
            </w:r>
          </w:p>
        </w:tc>
        <w:tc>
          <w:tcPr>
            <w:tcW w:type="dxa" w:w="1008"/>
            <w:shd w:fill="16324F"/>
          </w:tcPr>
          <w:p>
            <w:r>
              <w:rPr>
                <w:b/>
                <w:color w:val="FFFFFF"/>
                <w:sz w:val="16"/>
              </w:rPr>
              <w:t>Validator</w:t>
            </w:r>
          </w:p>
        </w:tc>
        <w:tc>
          <w:tcPr>
            <w:tcW w:type="dxa" w:w="1008"/>
            <w:shd w:fill="16324F"/>
          </w:tcPr>
          <w:p>
            <w:r>
              <w:rPr>
                <w:b/>
                <w:color w:val="FFFFFF"/>
                <w:sz w:val="16"/>
              </w:rPr>
              <w:t>Result</w:t>
            </w:r>
          </w:p>
        </w:tc>
      </w:tr>
      <w:tr>
        <w:tc>
          <w:tcPr>
            <w:tcW w:type="dxa" w:w="792"/>
            <w:vAlign w:val="center"/>
          </w:tcPr>
          <w:p>
            <w:pPr>
              <w:spacing w:after="20"/>
            </w:pPr>
            <w:r>
              <w:rPr>
                <w:sz w:val="15"/>
              </w:rPr>
              <w:t>E-01</w:t>
            </w:r>
          </w:p>
        </w:tc>
        <w:tc>
          <w:tcPr>
            <w:tcW w:type="dxa" w:w="2088"/>
            <w:vAlign w:val="center"/>
          </w:tcPr>
          <w:p>
            <w:pPr>
              <w:spacing w:after="20"/>
            </w:pPr>
            <w:r>
              <w:rPr>
                <w:sz w:val="15"/>
              </w:rPr>
              <w:t>MFA coverage</w:t>
            </w:r>
          </w:p>
        </w:tc>
        <w:tc>
          <w:tcPr>
            <w:tcW w:type="dxa" w:w="2952"/>
            <w:vAlign w:val="center"/>
          </w:tcPr>
          <w:p>
            <w:pPr>
              <w:spacing w:after="20"/>
            </w:pPr>
            <w:r>
              <w:rPr>
                <w:sz w:val="15"/>
              </w:rPr>
              <w:t>Identity provider coverage export</w:t>
            </w:r>
          </w:p>
        </w:tc>
        <w:tc>
          <w:tcPr>
            <w:tcW w:type="dxa" w:w="1080"/>
            <w:vAlign w:val="center"/>
          </w:tcPr>
          <w:p>
            <w:pPr>
              <w:spacing w:after="20"/>
            </w:pPr>
            <w:r>
              <w:rPr>
                <w:sz w:val="15"/>
              </w:rPr>
            </w:r>
          </w:p>
        </w:tc>
        <w:tc>
          <w:tcPr>
            <w:tcW w:type="dxa" w:w="1656"/>
            <w:vAlign w:val="center"/>
          </w:tcPr>
          <w:p>
            <w:pPr>
              <w:spacing w:after="20"/>
            </w:pPr>
            <w:r>
              <w:rPr>
                <w:sz w:val="15"/>
              </w:rPr>
            </w:r>
          </w:p>
        </w:tc>
        <w:tc>
          <w:tcPr>
            <w:tcW w:type="dxa" w:w="1008"/>
            <w:vAlign w:val="center"/>
          </w:tcPr>
          <w:p>
            <w:pPr>
              <w:spacing w:after="20"/>
            </w:pPr>
            <w:r>
              <w:rPr>
                <w:sz w:val="15"/>
              </w:rPr>
            </w:r>
          </w:p>
        </w:tc>
        <w:tc>
          <w:tcPr>
            <w:tcW w:type="dxa" w:w="1008"/>
            <w:vAlign w:val="center"/>
          </w:tcPr>
          <w:p>
            <w:pPr>
              <w:spacing w:after="20"/>
            </w:pPr>
            <w:r>
              <w:rPr>
                <w:sz w:val="15"/>
              </w:rPr>
            </w:r>
          </w:p>
        </w:tc>
      </w:tr>
      <w:tr>
        <w:tc>
          <w:tcPr>
            <w:tcW w:type="dxa" w:w="792"/>
            <w:vAlign w:val="center"/>
            <w:shd w:fill="EAF2F7"/>
          </w:tcPr>
          <w:p>
            <w:pPr>
              <w:spacing w:after="20"/>
            </w:pPr>
            <w:r>
              <w:rPr>
                <w:sz w:val="15"/>
              </w:rPr>
              <w:t>E-02</w:t>
            </w:r>
          </w:p>
        </w:tc>
        <w:tc>
          <w:tcPr>
            <w:tcW w:type="dxa" w:w="2088"/>
            <w:vAlign w:val="center"/>
            <w:shd w:fill="EAF2F7"/>
          </w:tcPr>
          <w:p>
            <w:pPr>
              <w:spacing w:after="20"/>
            </w:pPr>
            <w:r>
              <w:rPr>
                <w:sz w:val="15"/>
              </w:rPr>
              <w:t>Endpoint protection</w:t>
            </w:r>
          </w:p>
        </w:tc>
        <w:tc>
          <w:tcPr>
            <w:tcW w:type="dxa" w:w="2952"/>
            <w:vAlign w:val="center"/>
            <w:shd w:fill="EAF2F7"/>
          </w:tcPr>
          <w:p>
            <w:pPr>
              <w:spacing w:after="20"/>
            </w:pPr>
            <w:r>
              <w:rPr>
                <w:sz w:val="15"/>
              </w:rPr>
              <w:t>EDR deployment and health report</w:t>
            </w:r>
          </w:p>
        </w:tc>
        <w:tc>
          <w:tcPr>
            <w:tcW w:type="dxa" w:w="1080"/>
            <w:vAlign w:val="center"/>
            <w:shd w:fill="EAF2F7"/>
          </w:tcPr>
          <w:p>
            <w:pPr>
              <w:spacing w:after="20"/>
            </w:pPr>
            <w:r>
              <w:rPr>
                <w:sz w:val="15"/>
              </w:rPr>
            </w:r>
          </w:p>
        </w:tc>
        <w:tc>
          <w:tcPr>
            <w:tcW w:type="dxa" w:w="1656"/>
            <w:vAlign w:val="center"/>
            <w:shd w:fill="EAF2F7"/>
          </w:tcPr>
          <w:p>
            <w:pPr>
              <w:spacing w:after="20"/>
            </w:pPr>
            <w:r>
              <w:rPr>
                <w:sz w:val="15"/>
              </w:rPr>
            </w:r>
          </w:p>
        </w:tc>
        <w:tc>
          <w:tcPr>
            <w:tcW w:type="dxa" w:w="1008"/>
            <w:vAlign w:val="center"/>
            <w:shd w:fill="EAF2F7"/>
          </w:tcPr>
          <w:p>
            <w:pPr>
              <w:spacing w:after="20"/>
            </w:pPr>
            <w:r>
              <w:rPr>
                <w:sz w:val="15"/>
              </w:rPr>
            </w:r>
          </w:p>
        </w:tc>
        <w:tc>
          <w:tcPr>
            <w:tcW w:type="dxa" w:w="1008"/>
            <w:vAlign w:val="center"/>
            <w:shd w:fill="EAF2F7"/>
          </w:tcPr>
          <w:p>
            <w:pPr>
              <w:spacing w:after="20"/>
            </w:pPr>
            <w:r>
              <w:rPr>
                <w:sz w:val="15"/>
              </w:rPr>
            </w:r>
          </w:p>
        </w:tc>
      </w:tr>
      <w:tr>
        <w:tc>
          <w:tcPr>
            <w:tcW w:type="dxa" w:w="792"/>
            <w:vAlign w:val="center"/>
          </w:tcPr>
          <w:p>
            <w:pPr>
              <w:spacing w:after="20"/>
            </w:pPr>
            <w:r>
              <w:rPr>
                <w:sz w:val="15"/>
              </w:rPr>
              <w:t>E-03</w:t>
            </w:r>
          </w:p>
        </w:tc>
        <w:tc>
          <w:tcPr>
            <w:tcW w:type="dxa" w:w="2088"/>
            <w:vAlign w:val="center"/>
          </w:tcPr>
          <w:p>
            <w:pPr>
              <w:spacing w:after="20"/>
            </w:pPr>
            <w:r>
              <w:rPr>
                <w:sz w:val="15"/>
              </w:rPr>
              <w:t>Backups</w:t>
            </w:r>
          </w:p>
        </w:tc>
        <w:tc>
          <w:tcPr>
            <w:tcW w:type="dxa" w:w="2952"/>
            <w:vAlign w:val="center"/>
          </w:tcPr>
          <w:p>
            <w:pPr>
              <w:spacing w:after="20"/>
            </w:pPr>
            <w:r>
              <w:rPr>
                <w:sz w:val="15"/>
              </w:rPr>
              <w:t>Configuration export and latest restore-test report</w:t>
            </w:r>
          </w:p>
        </w:tc>
        <w:tc>
          <w:tcPr>
            <w:tcW w:type="dxa" w:w="1080"/>
            <w:vAlign w:val="center"/>
          </w:tcPr>
          <w:p>
            <w:pPr>
              <w:spacing w:after="20"/>
            </w:pPr>
            <w:r>
              <w:rPr>
                <w:sz w:val="15"/>
              </w:rPr>
            </w:r>
          </w:p>
        </w:tc>
        <w:tc>
          <w:tcPr>
            <w:tcW w:type="dxa" w:w="1656"/>
            <w:vAlign w:val="center"/>
          </w:tcPr>
          <w:p>
            <w:pPr>
              <w:spacing w:after="20"/>
            </w:pPr>
            <w:r>
              <w:rPr>
                <w:sz w:val="15"/>
              </w:rPr>
            </w:r>
          </w:p>
        </w:tc>
        <w:tc>
          <w:tcPr>
            <w:tcW w:type="dxa" w:w="1008"/>
            <w:vAlign w:val="center"/>
          </w:tcPr>
          <w:p>
            <w:pPr>
              <w:spacing w:after="20"/>
            </w:pPr>
            <w:r>
              <w:rPr>
                <w:sz w:val="15"/>
              </w:rPr>
            </w:r>
          </w:p>
        </w:tc>
        <w:tc>
          <w:tcPr>
            <w:tcW w:type="dxa" w:w="1008"/>
            <w:vAlign w:val="center"/>
          </w:tcPr>
          <w:p>
            <w:pPr>
              <w:spacing w:after="20"/>
            </w:pPr>
            <w:r>
              <w:rPr>
                <w:sz w:val="15"/>
              </w:rPr>
            </w:r>
          </w:p>
        </w:tc>
      </w:tr>
      <w:tr>
        <w:tc>
          <w:tcPr>
            <w:tcW w:type="dxa" w:w="792"/>
            <w:vAlign w:val="center"/>
            <w:shd w:fill="EAF2F7"/>
          </w:tcPr>
          <w:p>
            <w:pPr>
              <w:spacing w:after="20"/>
            </w:pPr>
            <w:r>
              <w:rPr>
                <w:sz w:val="15"/>
              </w:rPr>
              <w:t>E-04</w:t>
            </w:r>
          </w:p>
        </w:tc>
        <w:tc>
          <w:tcPr>
            <w:tcW w:type="dxa" w:w="2088"/>
            <w:vAlign w:val="center"/>
            <w:shd w:fill="EAF2F7"/>
          </w:tcPr>
          <w:p>
            <w:pPr>
              <w:spacing w:after="20"/>
            </w:pPr>
            <w:r>
              <w:rPr>
                <w:sz w:val="15"/>
              </w:rPr>
              <w:t>Vulnerability management</w:t>
            </w:r>
          </w:p>
        </w:tc>
        <w:tc>
          <w:tcPr>
            <w:tcW w:type="dxa" w:w="2952"/>
            <w:vAlign w:val="center"/>
            <w:shd w:fill="EAF2F7"/>
          </w:tcPr>
          <w:p>
            <w:pPr>
              <w:spacing w:after="20"/>
            </w:pPr>
            <w:r>
              <w:rPr>
                <w:sz w:val="15"/>
              </w:rPr>
              <w:t>Current scan summary and SLA aging report</w:t>
            </w:r>
          </w:p>
        </w:tc>
        <w:tc>
          <w:tcPr>
            <w:tcW w:type="dxa" w:w="1080"/>
            <w:vAlign w:val="center"/>
            <w:shd w:fill="EAF2F7"/>
          </w:tcPr>
          <w:p>
            <w:pPr>
              <w:spacing w:after="20"/>
            </w:pPr>
            <w:r>
              <w:rPr>
                <w:sz w:val="15"/>
              </w:rPr>
            </w:r>
          </w:p>
        </w:tc>
        <w:tc>
          <w:tcPr>
            <w:tcW w:type="dxa" w:w="1656"/>
            <w:vAlign w:val="center"/>
            <w:shd w:fill="EAF2F7"/>
          </w:tcPr>
          <w:p>
            <w:pPr>
              <w:spacing w:after="20"/>
            </w:pPr>
            <w:r>
              <w:rPr>
                <w:sz w:val="15"/>
              </w:rPr>
            </w:r>
          </w:p>
        </w:tc>
        <w:tc>
          <w:tcPr>
            <w:tcW w:type="dxa" w:w="1008"/>
            <w:vAlign w:val="center"/>
            <w:shd w:fill="EAF2F7"/>
          </w:tcPr>
          <w:p>
            <w:pPr>
              <w:spacing w:after="20"/>
            </w:pPr>
            <w:r>
              <w:rPr>
                <w:sz w:val="15"/>
              </w:rPr>
            </w:r>
          </w:p>
        </w:tc>
        <w:tc>
          <w:tcPr>
            <w:tcW w:type="dxa" w:w="1008"/>
            <w:vAlign w:val="center"/>
            <w:shd w:fill="EAF2F7"/>
          </w:tcPr>
          <w:p>
            <w:pPr>
              <w:spacing w:after="20"/>
            </w:pPr>
            <w:r>
              <w:rPr>
                <w:sz w:val="15"/>
              </w:rPr>
            </w:r>
          </w:p>
        </w:tc>
      </w:tr>
      <w:tr>
        <w:tc>
          <w:tcPr>
            <w:tcW w:type="dxa" w:w="792"/>
            <w:vAlign w:val="center"/>
          </w:tcPr>
          <w:p>
            <w:pPr>
              <w:spacing w:after="20"/>
            </w:pPr>
            <w:r>
              <w:rPr>
                <w:sz w:val="15"/>
              </w:rPr>
              <w:t>E-05</w:t>
            </w:r>
          </w:p>
        </w:tc>
        <w:tc>
          <w:tcPr>
            <w:tcW w:type="dxa" w:w="2088"/>
            <w:vAlign w:val="center"/>
          </w:tcPr>
          <w:p>
            <w:pPr>
              <w:spacing w:after="20"/>
            </w:pPr>
            <w:r>
              <w:rPr>
                <w:sz w:val="15"/>
              </w:rPr>
              <w:t>Incident response</w:t>
            </w:r>
          </w:p>
        </w:tc>
        <w:tc>
          <w:tcPr>
            <w:tcW w:type="dxa" w:w="2952"/>
            <w:vAlign w:val="center"/>
          </w:tcPr>
          <w:p>
            <w:pPr>
              <w:spacing w:after="20"/>
            </w:pPr>
            <w:r>
              <w:rPr>
                <w:sz w:val="15"/>
              </w:rPr>
              <w:t>Approved plan and exercise after-action report</w:t>
            </w:r>
          </w:p>
        </w:tc>
        <w:tc>
          <w:tcPr>
            <w:tcW w:type="dxa" w:w="1080"/>
            <w:vAlign w:val="center"/>
          </w:tcPr>
          <w:p>
            <w:pPr>
              <w:spacing w:after="20"/>
            </w:pPr>
            <w:r>
              <w:rPr>
                <w:sz w:val="15"/>
              </w:rPr>
            </w:r>
          </w:p>
        </w:tc>
        <w:tc>
          <w:tcPr>
            <w:tcW w:type="dxa" w:w="1656"/>
            <w:vAlign w:val="center"/>
          </w:tcPr>
          <w:p>
            <w:pPr>
              <w:spacing w:after="20"/>
            </w:pPr>
            <w:r>
              <w:rPr>
                <w:sz w:val="15"/>
              </w:rPr>
            </w:r>
          </w:p>
        </w:tc>
        <w:tc>
          <w:tcPr>
            <w:tcW w:type="dxa" w:w="1008"/>
            <w:vAlign w:val="center"/>
          </w:tcPr>
          <w:p>
            <w:pPr>
              <w:spacing w:after="20"/>
            </w:pPr>
            <w:r>
              <w:rPr>
                <w:sz w:val="15"/>
              </w:rPr>
            </w:r>
          </w:p>
        </w:tc>
        <w:tc>
          <w:tcPr>
            <w:tcW w:type="dxa" w:w="1008"/>
            <w:vAlign w:val="center"/>
          </w:tcPr>
          <w:p>
            <w:pPr>
              <w:spacing w:after="20"/>
            </w:pPr>
            <w:r>
              <w:rPr>
                <w:sz w:val="15"/>
              </w:rPr>
            </w:r>
          </w:p>
        </w:tc>
      </w:tr>
      <w:tr>
        <w:tc>
          <w:tcPr>
            <w:tcW w:type="dxa" w:w="792"/>
            <w:vAlign w:val="center"/>
            <w:shd w:fill="EAF2F7"/>
          </w:tcPr>
          <w:p>
            <w:pPr>
              <w:spacing w:after="20"/>
            </w:pPr>
            <w:r>
              <w:rPr>
                <w:sz w:val="15"/>
              </w:rPr>
              <w:t>E-06</w:t>
            </w:r>
          </w:p>
        </w:tc>
        <w:tc>
          <w:tcPr>
            <w:tcW w:type="dxa" w:w="2088"/>
            <w:vAlign w:val="center"/>
            <w:shd w:fill="EAF2F7"/>
          </w:tcPr>
          <w:p>
            <w:pPr>
              <w:spacing w:after="20"/>
            </w:pPr>
            <w:r>
              <w:rPr>
                <w:sz w:val="15"/>
              </w:rPr>
              <w:t>Security training</w:t>
            </w:r>
          </w:p>
        </w:tc>
        <w:tc>
          <w:tcPr>
            <w:tcW w:type="dxa" w:w="2952"/>
            <w:vAlign w:val="center"/>
            <w:shd w:fill="EAF2F7"/>
          </w:tcPr>
          <w:p>
            <w:pPr>
              <w:spacing w:after="20"/>
            </w:pPr>
            <w:r>
              <w:rPr>
                <w:sz w:val="15"/>
              </w:rPr>
              <w:t>Completion and phishing simulation report</w:t>
            </w:r>
          </w:p>
        </w:tc>
        <w:tc>
          <w:tcPr>
            <w:tcW w:type="dxa" w:w="1080"/>
            <w:vAlign w:val="center"/>
            <w:shd w:fill="EAF2F7"/>
          </w:tcPr>
          <w:p>
            <w:pPr>
              <w:spacing w:after="20"/>
            </w:pPr>
            <w:r>
              <w:rPr>
                <w:sz w:val="15"/>
              </w:rPr>
            </w:r>
          </w:p>
        </w:tc>
        <w:tc>
          <w:tcPr>
            <w:tcW w:type="dxa" w:w="1656"/>
            <w:vAlign w:val="center"/>
            <w:shd w:fill="EAF2F7"/>
          </w:tcPr>
          <w:p>
            <w:pPr>
              <w:spacing w:after="20"/>
            </w:pPr>
            <w:r>
              <w:rPr>
                <w:sz w:val="15"/>
              </w:rPr>
            </w:r>
          </w:p>
        </w:tc>
        <w:tc>
          <w:tcPr>
            <w:tcW w:type="dxa" w:w="1008"/>
            <w:vAlign w:val="center"/>
            <w:shd w:fill="EAF2F7"/>
          </w:tcPr>
          <w:p>
            <w:pPr>
              <w:spacing w:after="20"/>
            </w:pPr>
            <w:r>
              <w:rPr>
                <w:sz w:val="15"/>
              </w:rPr>
            </w:r>
          </w:p>
        </w:tc>
        <w:tc>
          <w:tcPr>
            <w:tcW w:type="dxa" w:w="1008"/>
            <w:vAlign w:val="center"/>
            <w:shd w:fill="EAF2F7"/>
          </w:tcPr>
          <w:p>
            <w:pPr>
              <w:spacing w:after="20"/>
            </w:pPr>
            <w:r>
              <w:rPr>
                <w:sz w:val="15"/>
              </w:rPr>
            </w:r>
          </w:p>
        </w:tc>
      </w:tr>
      <w:tr>
        <w:tc>
          <w:tcPr>
            <w:tcW w:type="dxa" w:w="792"/>
            <w:vAlign w:val="center"/>
          </w:tcPr>
          <w:p>
            <w:pPr>
              <w:spacing w:after="20"/>
            </w:pPr>
            <w:r>
              <w:rPr>
                <w:sz w:val="15"/>
              </w:rPr>
              <w:t>E-07</w:t>
            </w:r>
          </w:p>
        </w:tc>
        <w:tc>
          <w:tcPr>
            <w:tcW w:type="dxa" w:w="2088"/>
            <w:vAlign w:val="center"/>
          </w:tcPr>
          <w:p>
            <w:pPr>
              <w:spacing w:after="20"/>
            </w:pPr>
            <w:r>
              <w:rPr>
                <w:sz w:val="15"/>
              </w:rPr>
              <w:t>Vendor risk</w:t>
            </w:r>
          </w:p>
        </w:tc>
        <w:tc>
          <w:tcPr>
            <w:tcW w:type="dxa" w:w="2952"/>
            <w:vAlign w:val="center"/>
          </w:tcPr>
          <w:p>
            <w:pPr>
              <w:spacing w:after="20"/>
            </w:pPr>
            <w:r>
              <w:rPr>
                <w:sz w:val="15"/>
              </w:rPr>
              <w:t>Critical vendor inventory and review status</w:t>
            </w:r>
          </w:p>
        </w:tc>
        <w:tc>
          <w:tcPr>
            <w:tcW w:type="dxa" w:w="1080"/>
            <w:vAlign w:val="center"/>
          </w:tcPr>
          <w:p>
            <w:pPr>
              <w:spacing w:after="20"/>
            </w:pPr>
            <w:r>
              <w:rPr>
                <w:sz w:val="15"/>
              </w:rPr>
            </w:r>
          </w:p>
        </w:tc>
        <w:tc>
          <w:tcPr>
            <w:tcW w:type="dxa" w:w="1656"/>
            <w:vAlign w:val="center"/>
          </w:tcPr>
          <w:p>
            <w:pPr>
              <w:spacing w:after="20"/>
            </w:pPr>
            <w:r>
              <w:rPr>
                <w:sz w:val="15"/>
              </w:rPr>
            </w:r>
          </w:p>
        </w:tc>
        <w:tc>
          <w:tcPr>
            <w:tcW w:type="dxa" w:w="1008"/>
            <w:vAlign w:val="center"/>
          </w:tcPr>
          <w:p>
            <w:pPr>
              <w:spacing w:after="20"/>
            </w:pPr>
            <w:r>
              <w:rPr>
                <w:sz w:val="15"/>
              </w:rPr>
            </w:r>
          </w:p>
        </w:tc>
        <w:tc>
          <w:tcPr>
            <w:tcW w:type="dxa" w:w="1008"/>
            <w:vAlign w:val="center"/>
          </w:tcPr>
          <w:p>
            <w:pPr>
              <w:spacing w:after="20"/>
            </w:pPr>
            <w:r>
              <w:rPr>
                <w:sz w:val="15"/>
              </w:rPr>
            </w:r>
          </w:p>
        </w:tc>
      </w:tr>
      <w:tr>
        <w:tc>
          <w:tcPr>
            <w:tcW w:type="dxa" w:w="792"/>
            <w:vAlign w:val="center"/>
            <w:shd w:fill="EAF2F7"/>
          </w:tcPr>
          <w:p>
            <w:pPr>
              <w:spacing w:after="20"/>
            </w:pPr>
            <w:r>
              <w:rPr>
                <w:sz w:val="15"/>
              </w:rPr>
              <w:t>E-08</w:t>
            </w:r>
          </w:p>
        </w:tc>
        <w:tc>
          <w:tcPr>
            <w:tcW w:type="dxa" w:w="2088"/>
            <w:vAlign w:val="center"/>
            <w:shd w:fill="EAF2F7"/>
          </w:tcPr>
          <w:p>
            <w:pPr>
              <w:spacing w:after="20"/>
            </w:pPr>
            <w:r>
              <w:rPr>
                <w:sz w:val="15"/>
              </w:rPr>
              <w:t>Logging/monitoring</w:t>
            </w:r>
          </w:p>
        </w:tc>
        <w:tc>
          <w:tcPr>
            <w:tcW w:type="dxa" w:w="2952"/>
            <w:vAlign w:val="center"/>
            <w:shd w:fill="EAF2F7"/>
          </w:tcPr>
          <w:p>
            <w:pPr>
              <w:spacing w:after="20"/>
            </w:pPr>
            <w:r>
              <w:rPr>
                <w:sz w:val="15"/>
              </w:rPr>
              <w:t>Log-source coverage and alert response sample</w:t>
            </w:r>
          </w:p>
        </w:tc>
        <w:tc>
          <w:tcPr>
            <w:tcW w:type="dxa" w:w="1080"/>
            <w:vAlign w:val="center"/>
            <w:shd w:fill="EAF2F7"/>
          </w:tcPr>
          <w:p>
            <w:pPr>
              <w:spacing w:after="20"/>
            </w:pPr>
            <w:r>
              <w:rPr>
                <w:sz w:val="15"/>
              </w:rPr>
            </w:r>
          </w:p>
        </w:tc>
        <w:tc>
          <w:tcPr>
            <w:tcW w:type="dxa" w:w="1656"/>
            <w:vAlign w:val="center"/>
            <w:shd w:fill="EAF2F7"/>
          </w:tcPr>
          <w:p>
            <w:pPr>
              <w:spacing w:after="20"/>
            </w:pPr>
            <w:r>
              <w:rPr>
                <w:sz w:val="15"/>
              </w:rPr>
            </w:r>
          </w:p>
        </w:tc>
        <w:tc>
          <w:tcPr>
            <w:tcW w:type="dxa" w:w="1008"/>
            <w:vAlign w:val="center"/>
            <w:shd w:fill="EAF2F7"/>
          </w:tcPr>
          <w:p>
            <w:pPr>
              <w:spacing w:after="20"/>
            </w:pPr>
            <w:r>
              <w:rPr>
                <w:sz w:val="15"/>
              </w:rPr>
            </w:r>
          </w:p>
        </w:tc>
        <w:tc>
          <w:tcPr>
            <w:tcW w:type="dxa" w:w="1008"/>
            <w:vAlign w:val="center"/>
            <w:shd w:fill="EAF2F7"/>
          </w:tcPr>
          <w:p>
            <w:pPr>
              <w:spacing w:after="20"/>
            </w:pPr>
            <w:r>
              <w:rPr>
                <w:sz w:val="15"/>
              </w:rPr>
            </w:r>
          </w:p>
        </w:tc>
      </w:tr>
    </w:tbl>
    <w:p>
      <w:pPr>
        <w:spacing w:after="0"/>
      </w:pPr>
    </w:p>
    <w:p>
      <w:pPr>
        <w:pStyle w:val="Heading2"/>
      </w:pPr>
      <w:r>
        <w:t>Evidence acceptance criteria</w:t>
      </w:r>
    </w:p>
    <w:p>
      <w:pPr>
        <w:pStyle w:val="ListBullet"/>
      </w:pPr>
      <w:r>
        <w:t>Current enough to support the answer and renewal date.</w:t>
      </w:r>
    </w:p>
    <w:p>
      <w:pPr>
        <w:pStyle w:val="ListBullet"/>
      </w:pPr>
      <w:r>
        <w:t>Shows the relevant population and clearly identifies exclusions.</w:t>
      </w:r>
    </w:p>
    <w:p>
      <w:pPr>
        <w:pStyle w:val="ListBullet"/>
      </w:pPr>
      <w:r>
        <w:t>Produced by an authoritative system or approved record owner.</w:t>
      </w:r>
    </w:p>
    <w:p>
      <w:pPr>
        <w:pStyle w:val="ListBullet"/>
      </w:pPr>
      <w:r>
        <w:t>Reviewed by someone other than the preparer when the answer is material.</w:t>
      </w:r>
    </w:p>
    <w:p>
      <w:pPr>
        <w:pStyle w:val="ListBullet"/>
      </w:pPr>
      <w:r>
        <w:t>Retained with the final application, correspondence, and approval record.</w:t>
      </w:r>
    </w:p>
    <w:p>
      <w:pPr>
        <w:pStyle w:val="Heading2"/>
      </w:pPr>
      <w:r>
        <w:t>Evidence handling</w:t>
      </w:r>
    </w:p>
    <w:p>
      <w:r>
        <w:t>Classify the package as confidential. Apply least-privilege access, use approved encryption and secure transfer, redact credentials and unnecessary personal data, and retain according to legal hold and records requirements.</w:t>
      </w:r>
    </w:p>
    <w:p>
      <w:r>
        <w:br w:type="page"/>
      </w:r>
    </w:p>
    <w:p>
      <w:pPr>
        <w:pStyle w:val="Heading1"/>
      </w:pPr>
      <w:r>
        <w:t>5. Gap and remediation tracker</w:t>
      </w:r>
    </w:p>
    <w:tbl>
      <w:tblPr>
        <w:tblStyle w:val="TableGrid"/>
        <w:tblW w:type="auto" w:w="0"/>
        <w:jc w:val="center"/>
        <w:tblLook w:firstColumn="1" w:firstRow="1" w:lastColumn="0" w:lastRow="0" w:noHBand="0" w:noVBand="1" w:val="04A0"/>
      </w:tblPr>
      <w:tblGrid>
        <w:gridCol w:w="1461"/>
        <w:gridCol w:w="1461"/>
        <w:gridCol w:w="1461"/>
        <w:gridCol w:w="1461"/>
        <w:gridCol w:w="1461"/>
        <w:gridCol w:w="1461"/>
        <w:gridCol w:w="1461"/>
      </w:tblGrid>
      <w:tr>
        <w:trPr>
          <w:tblHeader w:val="true"/>
        </w:trPr>
        <w:tc>
          <w:tcPr>
            <w:tcW w:type="dxa" w:w="864"/>
            <w:shd w:fill="16324F"/>
          </w:tcPr>
          <w:p>
            <w:r>
              <w:rPr>
                <w:b/>
                <w:color w:val="FFFFFF"/>
                <w:sz w:val="16"/>
              </w:rPr>
              <w:t>Gap ID</w:t>
            </w:r>
          </w:p>
        </w:tc>
        <w:tc>
          <w:tcPr>
            <w:tcW w:type="dxa" w:w="2232"/>
            <w:shd w:fill="16324F"/>
          </w:tcPr>
          <w:p>
            <w:r>
              <w:rPr>
                <w:b/>
                <w:color w:val="FFFFFF"/>
                <w:sz w:val="16"/>
              </w:rPr>
              <w:t>Control gap / affected answer</w:t>
            </w:r>
          </w:p>
        </w:tc>
        <w:tc>
          <w:tcPr>
            <w:tcW w:type="dxa" w:w="1800"/>
            <w:shd w:fill="16324F"/>
          </w:tcPr>
          <w:p>
            <w:r>
              <w:rPr>
                <w:b/>
                <w:color w:val="FFFFFF"/>
                <w:sz w:val="16"/>
              </w:rPr>
              <w:t>Risk and exposure</w:t>
            </w:r>
          </w:p>
        </w:tc>
        <w:tc>
          <w:tcPr>
            <w:tcW w:type="dxa" w:w="1944"/>
            <w:shd w:fill="16324F"/>
          </w:tcPr>
          <w:p>
            <w:r>
              <w:rPr>
                <w:b/>
                <w:color w:val="FFFFFF"/>
                <w:sz w:val="16"/>
              </w:rPr>
              <w:t>Compensating control</w:t>
            </w:r>
          </w:p>
        </w:tc>
        <w:tc>
          <w:tcPr>
            <w:tcW w:type="dxa" w:w="1944"/>
            <w:shd w:fill="16324F"/>
          </w:tcPr>
          <w:p>
            <w:r>
              <w:rPr>
                <w:b/>
                <w:color w:val="FFFFFF"/>
                <w:sz w:val="16"/>
              </w:rPr>
              <w:t>Action / owner</w:t>
            </w:r>
          </w:p>
        </w:tc>
        <w:tc>
          <w:tcPr>
            <w:tcW w:type="dxa" w:w="1080"/>
            <w:shd w:fill="16324F"/>
          </w:tcPr>
          <w:p>
            <w:r>
              <w:rPr>
                <w:b/>
                <w:color w:val="FFFFFF"/>
                <w:sz w:val="16"/>
              </w:rPr>
              <w:t>Due date</w:t>
            </w:r>
          </w:p>
        </w:tc>
        <w:tc>
          <w:tcPr>
            <w:tcW w:type="dxa" w:w="936"/>
            <w:shd w:fill="16324F"/>
          </w:tcPr>
          <w:p>
            <w:r>
              <w:rPr>
                <w:b/>
                <w:color w:val="FFFFFF"/>
                <w:sz w:val="16"/>
              </w:rPr>
              <w:t>Status</w:t>
            </w:r>
          </w:p>
        </w:tc>
      </w:tr>
      <w:tr>
        <w:tc>
          <w:tcPr>
            <w:tcW w:type="dxa" w:w="864"/>
            <w:vAlign w:val="center"/>
          </w:tcPr>
          <w:p>
            <w:pPr>
              <w:spacing w:after="20"/>
            </w:pPr>
            <w:r>
              <w:rPr>
                <w:sz w:val="15"/>
              </w:rPr>
              <w:t>G-01</w:t>
            </w:r>
          </w:p>
        </w:tc>
        <w:tc>
          <w:tcPr>
            <w:tcW w:type="dxa" w:w="2232"/>
            <w:vAlign w:val="center"/>
          </w:tcPr>
          <w:p>
            <w:pPr>
              <w:spacing w:after="20"/>
            </w:pPr>
            <w:r>
              <w:rPr>
                <w:sz w:val="15"/>
              </w:rPr>
            </w:r>
          </w:p>
        </w:tc>
        <w:tc>
          <w:tcPr>
            <w:tcW w:type="dxa" w:w="1800"/>
            <w:vAlign w:val="center"/>
          </w:tcPr>
          <w:p>
            <w:pPr>
              <w:spacing w:after="20"/>
            </w:pPr>
            <w:r>
              <w:rPr>
                <w:sz w:val="15"/>
              </w:rPr>
            </w:r>
          </w:p>
        </w:tc>
        <w:tc>
          <w:tcPr>
            <w:tcW w:type="dxa" w:w="1944"/>
            <w:vAlign w:val="center"/>
          </w:tcPr>
          <w:p>
            <w:pPr>
              <w:spacing w:after="20"/>
            </w:pPr>
            <w:r>
              <w:rPr>
                <w:sz w:val="15"/>
              </w:rPr>
            </w:r>
          </w:p>
        </w:tc>
        <w:tc>
          <w:tcPr>
            <w:tcW w:type="dxa" w:w="1944"/>
            <w:vAlign w:val="center"/>
          </w:tcPr>
          <w:p>
            <w:pPr>
              <w:spacing w:after="20"/>
            </w:pPr>
            <w:r>
              <w:rPr>
                <w:sz w:val="15"/>
              </w:rPr>
            </w:r>
          </w:p>
        </w:tc>
        <w:tc>
          <w:tcPr>
            <w:tcW w:type="dxa" w:w="1080"/>
            <w:vAlign w:val="center"/>
          </w:tcPr>
          <w:p>
            <w:pPr>
              <w:spacing w:after="20"/>
            </w:pPr>
            <w:r>
              <w:rPr>
                <w:sz w:val="15"/>
              </w:rPr>
            </w:r>
          </w:p>
        </w:tc>
        <w:tc>
          <w:tcPr>
            <w:tcW w:type="dxa" w:w="936"/>
            <w:vAlign w:val="center"/>
          </w:tcPr>
          <w:p>
            <w:pPr>
              <w:spacing w:after="20"/>
            </w:pPr>
            <w:r>
              <w:rPr>
                <w:sz w:val="15"/>
              </w:rPr>
            </w:r>
          </w:p>
        </w:tc>
      </w:tr>
      <w:tr>
        <w:tc>
          <w:tcPr>
            <w:tcW w:type="dxa" w:w="864"/>
            <w:vAlign w:val="center"/>
            <w:shd w:fill="EAF2F7"/>
          </w:tcPr>
          <w:p>
            <w:pPr>
              <w:spacing w:after="20"/>
            </w:pPr>
            <w:r>
              <w:rPr>
                <w:sz w:val="15"/>
              </w:rPr>
              <w:t>G-02</w:t>
            </w:r>
          </w:p>
        </w:tc>
        <w:tc>
          <w:tcPr>
            <w:tcW w:type="dxa" w:w="2232"/>
            <w:vAlign w:val="center"/>
            <w:shd w:fill="EAF2F7"/>
          </w:tcPr>
          <w:p>
            <w:pPr>
              <w:spacing w:after="20"/>
            </w:pPr>
            <w:r>
              <w:rPr>
                <w:sz w:val="15"/>
              </w:rPr>
            </w:r>
          </w:p>
        </w:tc>
        <w:tc>
          <w:tcPr>
            <w:tcW w:type="dxa" w:w="1800"/>
            <w:vAlign w:val="center"/>
            <w:shd w:fill="EAF2F7"/>
          </w:tcPr>
          <w:p>
            <w:pPr>
              <w:spacing w:after="20"/>
            </w:pPr>
            <w:r>
              <w:rPr>
                <w:sz w:val="15"/>
              </w:rPr>
            </w:r>
          </w:p>
        </w:tc>
        <w:tc>
          <w:tcPr>
            <w:tcW w:type="dxa" w:w="1944"/>
            <w:vAlign w:val="center"/>
            <w:shd w:fill="EAF2F7"/>
          </w:tcPr>
          <w:p>
            <w:pPr>
              <w:spacing w:after="20"/>
            </w:pPr>
            <w:r>
              <w:rPr>
                <w:sz w:val="15"/>
              </w:rPr>
            </w:r>
          </w:p>
        </w:tc>
        <w:tc>
          <w:tcPr>
            <w:tcW w:type="dxa" w:w="1944"/>
            <w:vAlign w:val="center"/>
            <w:shd w:fill="EAF2F7"/>
          </w:tcPr>
          <w:p>
            <w:pPr>
              <w:spacing w:after="20"/>
            </w:pPr>
            <w:r>
              <w:rPr>
                <w:sz w:val="15"/>
              </w:rPr>
            </w:r>
          </w:p>
        </w:tc>
        <w:tc>
          <w:tcPr>
            <w:tcW w:type="dxa" w:w="1080"/>
            <w:vAlign w:val="center"/>
            <w:shd w:fill="EAF2F7"/>
          </w:tcPr>
          <w:p>
            <w:pPr>
              <w:spacing w:after="20"/>
            </w:pPr>
            <w:r>
              <w:rPr>
                <w:sz w:val="15"/>
              </w:rPr>
            </w:r>
          </w:p>
        </w:tc>
        <w:tc>
          <w:tcPr>
            <w:tcW w:type="dxa" w:w="936"/>
            <w:vAlign w:val="center"/>
            <w:shd w:fill="EAF2F7"/>
          </w:tcPr>
          <w:p>
            <w:pPr>
              <w:spacing w:after="20"/>
            </w:pPr>
            <w:r>
              <w:rPr>
                <w:sz w:val="15"/>
              </w:rPr>
            </w:r>
          </w:p>
        </w:tc>
      </w:tr>
      <w:tr>
        <w:tc>
          <w:tcPr>
            <w:tcW w:type="dxa" w:w="864"/>
            <w:vAlign w:val="center"/>
          </w:tcPr>
          <w:p>
            <w:pPr>
              <w:spacing w:after="20"/>
            </w:pPr>
            <w:r>
              <w:rPr>
                <w:sz w:val="15"/>
              </w:rPr>
              <w:t>G-03</w:t>
            </w:r>
          </w:p>
        </w:tc>
        <w:tc>
          <w:tcPr>
            <w:tcW w:type="dxa" w:w="2232"/>
            <w:vAlign w:val="center"/>
          </w:tcPr>
          <w:p>
            <w:pPr>
              <w:spacing w:after="20"/>
            </w:pPr>
            <w:r>
              <w:rPr>
                <w:sz w:val="15"/>
              </w:rPr>
            </w:r>
          </w:p>
        </w:tc>
        <w:tc>
          <w:tcPr>
            <w:tcW w:type="dxa" w:w="1800"/>
            <w:vAlign w:val="center"/>
          </w:tcPr>
          <w:p>
            <w:pPr>
              <w:spacing w:after="20"/>
            </w:pPr>
            <w:r>
              <w:rPr>
                <w:sz w:val="15"/>
              </w:rPr>
            </w:r>
          </w:p>
        </w:tc>
        <w:tc>
          <w:tcPr>
            <w:tcW w:type="dxa" w:w="1944"/>
            <w:vAlign w:val="center"/>
          </w:tcPr>
          <w:p>
            <w:pPr>
              <w:spacing w:after="20"/>
            </w:pPr>
            <w:r>
              <w:rPr>
                <w:sz w:val="15"/>
              </w:rPr>
            </w:r>
          </w:p>
        </w:tc>
        <w:tc>
          <w:tcPr>
            <w:tcW w:type="dxa" w:w="1944"/>
            <w:vAlign w:val="center"/>
          </w:tcPr>
          <w:p>
            <w:pPr>
              <w:spacing w:after="20"/>
            </w:pPr>
            <w:r>
              <w:rPr>
                <w:sz w:val="15"/>
              </w:rPr>
            </w:r>
          </w:p>
        </w:tc>
        <w:tc>
          <w:tcPr>
            <w:tcW w:type="dxa" w:w="1080"/>
            <w:vAlign w:val="center"/>
          </w:tcPr>
          <w:p>
            <w:pPr>
              <w:spacing w:after="20"/>
            </w:pPr>
            <w:r>
              <w:rPr>
                <w:sz w:val="15"/>
              </w:rPr>
            </w:r>
          </w:p>
        </w:tc>
        <w:tc>
          <w:tcPr>
            <w:tcW w:type="dxa" w:w="936"/>
            <w:vAlign w:val="center"/>
          </w:tcPr>
          <w:p>
            <w:pPr>
              <w:spacing w:after="20"/>
            </w:pPr>
            <w:r>
              <w:rPr>
                <w:sz w:val="15"/>
              </w:rPr>
            </w:r>
          </w:p>
        </w:tc>
      </w:tr>
      <w:tr>
        <w:tc>
          <w:tcPr>
            <w:tcW w:type="dxa" w:w="864"/>
            <w:vAlign w:val="center"/>
            <w:shd w:fill="EAF2F7"/>
          </w:tcPr>
          <w:p>
            <w:pPr>
              <w:spacing w:after="20"/>
            </w:pPr>
            <w:r>
              <w:rPr>
                <w:sz w:val="15"/>
              </w:rPr>
              <w:t>G-04</w:t>
            </w:r>
          </w:p>
        </w:tc>
        <w:tc>
          <w:tcPr>
            <w:tcW w:type="dxa" w:w="2232"/>
            <w:vAlign w:val="center"/>
            <w:shd w:fill="EAF2F7"/>
          </w:tcPr>
          <w:p>
            <w:pPr>
              <w:spacing w:after="20"/>
            </w:pPr>
            <w:r>
              <w:rPr>
                <w:sz w:val="15"/>
              </w:rPr>
            </w:r>
          </w:p>
        </w:tc>
        <w:tc>
          <w:tcPr>
            <w:tcW w:type="dxa" w:w="1800"/>
            <w:vAlign w:val="center"/>
            <w:shd w:fill="EAF2F7"/>
          </w:tcPr>
          <w:p>
            <w:pPr>
              <w:spacing w:after="20"/>
            </w:pPr>
            <w:r>
              <w:rPr>
                <w:sz w:val="15"/>
              </w:rPr>
            </w:r>
          </w:p>
        </w:tc>
        <w:tc>
          <w:tcPr>
            <w:tcW w:type="dxa" w:w="1944"/>
            <w:vAlign w:val="center"/>
            <w:shd w:fill="EAF2F7"/>
          </w:tcPr>
          <w:p>
            <w:pPr>
              <w:spacing w:after="20"/>
            </w:pPr>
            <w:r>
              <w:rPr>
                <w:sz w:val="15"/>
              </w:rPr>
            </w:r>
          </w:p>
        </w:tc>
        <w:tc>
          <w:tcPr>
            <w:tcW w:type="dxa" w:w="1944"/>
            <w:vAlign w:val="center"/>
            <w:shd w:fill="EAF2F7"/>
          </w:tcPr>
          <w:p>
            <w:pPr>
              <w:spacing w:after="20"/>
            </w:pPr>
            <w:r>
              <w:rPr>
                <w:sz w:val="15"/>
              </w:rPr>
            </w:r>
          </w:p>
        </w:tc>
        <w:tc>
          <w:tcPr>
            <w:tcW w:type="dxa" w:w="1080"/>
            <w:vAlign w:val="center"/>
            <w:shd w:fill="EAF2F7"/>
          </w:tcPr>
          <w:p>
            <w:pPr>
              <w:spacing w:after="20"/>
            </w:pPr>
            <w:r>
              <w:rPr>
                <w:sz w:val="15"/>
              </w:rPr>
            </w:r>
          </w:p>
        </w:tc>
        <w:tc>
          <w:tcPr>
            <w:tcW w:type="dxa" w:w="936"/>
            <w:vAlign w:val="center"/>
            <w:shd w:fill="EAF2F7"/>
          </w:tcPr>
          <w:p>
            <w:pPr>
              <w:spacing w:after="20"/>
            </w:pPr>
            <w:r>
              <w:rPr>
                <w:sz w:val="15"/>
              </w:rPr>
            </w:r>
          </w:p>
        </w:tc>
      </w:tr>
      <w:tr>
        <w:tc>
          <w:tcPr>
            <w:tcW w:type="dxa" w:w="864"/>
            <w:vAlign w:val="center"/>
          </w:tcPr>
          <w:p>
            <w:pPr>
              <w:spacing w:after="20"/>
            </w:pPr>
            <w:r>
              <w:rPr>
                <w:sz w:val="15"/>
              </w:rPr>
              <w:t>G-05</w:t>
            </w:r>
          </w:p>
        </w:tc>
        <w:tc>
          <w:tcPr>
            <w:tcW w:type="dxa" w:w="2232"/>
            <w:vAlign w:val="center"/>
          </w:tcPr>
          <w:p>
            <w:pPr>
              <w:spacing w:after="20"/>
            </w:pPr>
            <w:r>
              <w:rPr>
                <w:sz w:val="15"/>
              </w:rPr>
            </w:r>
          </w:p>
        </w:tc>
        <w:tc>
          <w:tcPr>
            <w:tcW w:type="dxa" w:w="1800"/>
            <w:vAlign w:val="center"/>
          </w:tcPr>
          <w:p>
            <w:pPr>
              <w:spacing w:after="20"/>
            </w:pPr>
            <w:r>
              <w:rPr>
                <w:sz w:val="15"/>
              </w:rPr>
            </w:r>
          </w:p>
        </w:tc>
        <w:tc>
          <w:tcPr>
            <w:tcW w:type="dxa" w:w="1944"/>
            <w:vAlign w:val="center"/>
          </w:tcPr>
          <w:p>
            <w:pPr>
              <w:spacing w:after="20"/>
            </w:pPr>
            <w:r>
              <w:rPr>
                <w:sz w:val="15"/>
              </w:rPr>
            </w:r>
          </w:p>
        </w:tc>
        <w:tc>
          <w:tcPr>
            <w:tcW w:type="dxa" w:w="1944"/>
            <w:vAlign w:val="center"/>
          </w:tcPr>
          <w:p>
            <w:pPr>
              <w:spacing w:after="20"/>
            </w:pPr>
            <w:r>
              <w:rPr>
                <w:sz w:val="15"/>
              </w:rPr>
            </w:r>
          </w:p>
        </w:tc>
        <w:tc>
          <w:tcPr>
            <w:tcW w:type="dxa" w:w="1080"/>
            <w:vAlign w:val="center"/>
          </w:tcPr>
          <w:p>
            <w:pPr>
              <w:spacing w:after="20"/>
            </w:pPr>
            <w:r>
              <w:rPr>
                <w:sz w:val="15"/>
              </w:rPr>
            </w:r>
          </w:p>
        </w:tc>
        <w:tc>
          <w:tcPr>
            <w:tcW w:type="dxa" w:w="936"/>
            <w:vAlign w:val="center"/>
          </w:tcPr>
          <w:p>
            <w:pPr>
              <w:spacing w:after="20"/>
            </w:pPr>
            <w:r>
              <w:rPr>
                <w:sz w:val="15"/>
              </w:rPr>
            </w:r>
          </w:p>
        </w:tc>
      </w:tr>
      <w:tr>
        <w:tc>
          <w:tcPr>
            <w:tcW w:type="dxa" w:w="864"/>
            <w:vAlign w:val="center"/>
            <w:shd w:fill="EAF2F7"/>
          </w:tcPr>
          <w:p>
            <w:pPr>
              <w:spacing w:after="20"/>
            </w:pPr>
            <w:r>
              <w:rPr>
                <w:sz w:val="15"/>
              </w:rPr>
              <w:t>G-06</w:t>
            </w:r>
          </w:p>
        </w:tc>
        <w:tc>
          <w:tcPr>
            <w:tcW w:type="dxa" w:w="2232"/>
            <w:vAlign w:val="center"/>
            <w:shd w:fill="EAF2F7"/>
          </w:tcPr>
          <w:p>
            <w:pPr>
              <w:spacing w:after="20"/>
            </w:pPr>
            <w:r>
              <w:rPr>
                <w:sz w:val="15"/>
              </w:rPr>
            </w:r>
          </w:p>
        </w:tc>
        <w:tc>
          <w:tcPr>
            <w:tcW w:type="dxa" w:w="1800"/>
            <w:vAlign w:val="center"/>
            <w:shd w:fill="EAF2F7"/>
          </w:tcPr>
          <w:p>
            <w:pPr>
              <w:spacing w:after="20"/>
            </w:pPr>
            <w:r>
              <w:rPr>
                <w:sz w:val="15"/>
              </w:rPr>
            </w:r>
          </w:p>
        </w:tc>
        <w:tc>
          <w:tcPr>
            <w:tcW w:type="dxa" w:w="1944"/>
            <w:vAlign w:val="center"/>
            <w:shd w:fill="EAF2F7"/>
          </w:tcPr>
          <w:p>
            <w:pPr>
              <w:spacing w:after="20"/>
            </w:pPr>
            <w:r>
              <w:rPr>
                <w:sz w:val="15"/>
              </w:rPr>
            </w:r>
          </w:p>
        </w:tc>
        <w:tc>
          <w:tcPr>
            <w:tcW w:type="dxa" w:w="1944"/>
            <w:vAlign w:val="center"/>
            <w:shd w:fill="EAF2F7"/>
          </w:tcPr>
          <w:p>
            <w:pPr>
              <w:spacing w:after="20"/>
            </w:pPr>
            <w:r>
              <w:rPr>
                <w:sz w:val="15"/>
              </w:rPr>
            </w:r>
          </w:p>
        </w:tc>
        <w:tc>
          <w:tcPr>
            <w:tcW w:type="dxa" w:w="1080"/>
            <w:vAlign w:val="center"/>
            <w:shd w:fill="EAF2F7"/>
          </w:tcPr>
          <w:p>
            <w:pPr>
              <w:spacing w:after="20"/>
            </w:pPr>
            <w:r>
              <w:rPr>
                <w:sz w:val="15"/>
              </w:rPr>
            </w:r>
          </w:p>
        </w:tc>
        <w:tc>
          <w:tcPr>
            <w:tcW w:type="dxa" w:w="936"/>
            <w:vAlign w:val="center"/>
            <w:shd w:fill="EAF2F7"/>
          </w:tcPr>
          <w:p>
            <w:pPr>
              <w:spacing w:after="20"/>
            </w:pPr>
            <w:r>
              <w:rPr>
                <w:sz w:val="15"/>
              </w:rPr>
            </w:r>
          </w:p>
        </w:tc>
      </w:tr>
    </w:tbl>
    <w:p>
      <w:pPr>
        <w:spacing w:after="0"/>
      </w:pPr>
    </w:p>
    <w:p>
      <w:pPr>
        <w:pStyle w:val="Heading2"/>
      </w:pPr>
      <w:r>
        <w:t>Prioritization guide</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1440"/>
            <w:shd w:fill="16324F"/>
          </w:tcPr>
          <w:p>
            <w:r>
              <w:rPr>
                <w:b/>
                <w:color w:val="FFFFFF"/>
                <w:sz w:val="16"/>
              </w:rPr>
              <w:t>Priority</w:t>
            </w:r>
          </w:p>
        </w:tc>
        <w:tc>
          <w:tcPr>
            <w:tcW w:type="dxa" w:w="4320"/>
            <w:shd w:fill="16324F"/>
          </w:tcPr>
          <w:p>
            <w:r>
              <w:rPr>
                <w:b/>
                <w:color w:val="FFFFFF"/>
                <w:sz w:val="16"/>
              </w:rPr>
              <w:t>Use when</w:t>
            </w:r>
          </w:p>
        </w:tc>
        <w:tc>
          <w:tcPr>
            <w:tcW w:type="dxa" w:w="3888"/>
            <w:shd w:fill="16324F"/>
          </w:tcPr>
          <w:p>
            <w:r>
              <w:rPr>
                <w:b/>
                <w:color w:val="FFFFFF"/>
                <w:sz w:val="16"/>
              </w:rPr>
              <w:t>Expected treatment</w:t>
            </w:r>
          </w:p>
        </w:tc>
      </w:tr>
      <w:tr>
        <w:tc>
          <w:tcPr>
            <w:tcW w:type="dxa" w:w="1440"/>
            <w:vAlign w:val="center"/>
          </w:tcPr>
          <w:p>
            <w:pPr>
              <w:spacing w:after="20"/>
            </w:pPr>
            <w:r>
              <w:rPr>
                <w:sz w:val="15"/>
              </w:rPr>
              <w:t>Critical</w:t>
            </w:r>
          </w:p>
        </w:tc>
        <w:tc>
          <w:tcPr>
            <w:tcW w:type="dxa" w:w="4320"/>
            <w:vAlign w:val="center"/>
          </w:tcPr>
          <w:p>
            <w:pPr>
              <w:spacing w:after="20"/>
            </w:pPr>
            <w:r>
              <w:rPr>
                <w:sz w:val="15"/>
              </w:rPr>
              <w:t>A statement would be materially inaccurate; a prerequisite control is absent; or exposure could create imminent severe loss.</w:t>
            </w:r>
          </w:p>
        </w:tc>
        <w:tc>
          <w:tcPr>
            <w:tcW w:type="dxa" w:w="3888"/>
            <w:vAlign w:val="center"/>
          </w:tcPr>
          <w:p>
            <w:pPr>
              <w:spacing w:after="20"/>
            </w:pPr>
            <w:r>
              <w:rPr>
                <w:sz w:val="15"/>
              </w:rPr>
              <w:t>Escalate immediately. Correct before submission or disclose clearly with counsel/broker guidance.</w:t>
            </w:r>
          </w:p>
        </w:tc>
      </w:tr>
      <w:tr>
        <w:tc>
          <w:tcPr>
            <w:tcW w:type="dxa" w:w="1440"/>
            <w:vAlign w:val="center"/>
            <w:shd w:fill="EAF2F7"/>
          </w:tcPr>
          <w:p>
            <w:pPr>
              <w:spacing w:after="20"/>
            </w:pPr>
            <w:r>
              <w:rPr>
                <w:sz w:val="15"/>
              </w:rPr>
              <w:t>High</w:t>
            </w:r>
          </w:p>
        </w:tc>
        <w:tc>
          <w:tcPr>
            <w:tcW w:type="dxa" w:w="4320"/>
            <w:vAlign w:val="center"/>
            <w:shd w:fill="EAF2F7"/>
          </w:tcPr>
          <w:p>
            <w:pPr>
              <w:spacing w:after="20"/>
            </w:pPr>
            <w:r>
              <w:rPr>
                <w:sz w:val="15"/>
              </w:rPr>
              <w:t>Control exists but significant scope, effectiveness, or evidence gaps remain.</w:t>
            </w:r>
          </w:p>
        </w:tc>
        <w:tc>
          <w:tcPr>
            <w:tcW w:type="dxa" w:w="3888"/>
            <w:vAlign w:val="center"/>
            <w:shd w:fill="EAF2F7"/>
          </w:tcPr>
          <w:p>
            <w:pPr>
              <w:spacing w:after="20"/>
            </w:pPr>
            <w:r>
              <w:rPr>
                <w:sz w:val="15"/>
              </w:rPr>
              <w:t>Fund and track remediation; document compensating controls and residual risk.</w:t>
            </w:r>
          </w:p>
        </w:tc>
      </w:tr>
      <w:tr>
        <w:tc>
          <w:tcPr>
            <w:tcW w:type="dxa" w:w="1440"/>
            <w:vAlign w:val="center"/>
          </w:tcPr>
          <w:p>
            <w:pPr>
              <w:spacing w:after="20"/>
            </w:pPr>
            <w:r>
              <w:rPr>
                <w:sz w:val="15"/>
              </w:rPr>
              <w:t>Moderate</w:t>
            </w:r>
          </w:p>
        </w:tc>
        <w:tc>
          <w:tcPr>
            <w:tcW w:type="dxa" w:w="4320"/>
            <w:vAlign w:val="center"/>
          </w:tcPr>
          <w:p>
            <w:pPr>
              <w:spacing w:after="20"/>
            </w:pPr>
            <w:r>
              <w:rPr>
                <w:sz w:val="15"/>
              </w:rPr>
              <w:t>Gap is bounded and risk is partially mitigated.</w:t>
            </w:r>
          </w:p>
        </w:tc>
        <w:tc>
          <w:tcPr>
            <w:tcW w:type="dxa" w:w="3888"/>
            <w:vAlign w:val="center"/>
          </w:tcPr>
          <w:p>
            <w:pPr>
              <w:spacing w:after="20"/>
            </w:pPr>
            <w:r>
              <w:rPr>
                <w:sz w:val="15"/>
              </w:rPr>
              <w:t>Set owner and date; monitor through governance.</w:t>
            </w:r>
          </w:p>
        </w:tc>
      </w:tr>
      <w:tr>
        <w:tc>
          <w:tcPr>
            <w:tcW w:type="dxa" w:w="1440"/>
            <w:vAlign w:val="center"/>
            <w:shd w:fill="EAF2F7"/>
          </w:tcPr>
          <w:p>
            <w:pPr>
              <w:spacing w:after="20"/>
            </w:pPr>
            <w:r>
              <w:rPr>
                <w:sz w:val="15"/>
              </w:rPr>
              <w:t>Low</w:t>
            </w:r>
          </w:p>
        </w:tc>
        <w:tc>
          <w:tcPr>
            <w:tcW w:type="dxa" w:w="4320"/>
            <w:vAlign w:val="center"/>
            <w:shd w:fill="EAF2F7"/>
          </w:tcPr>
          <w:p>
            <w:pPr>
              <w:spacing w:after="20"/>
            </w:pPr>
            <w:r>
              <w:rPr>
                <w:sz w:val="15"/>
              </w:rPr>
              <w:t>Documentation, consistency, or optimization opportunity with limited current exposure.</w:t>
            </w:r>
          </w:p>
        </w:tc>
        <w:tc>
          <w:tcPr>
            <w:tcW w:type="dxa" w:w="3888"/>
            <w:vAlign w:val="center"/>
            <w:shd w:fill="EAF2F7"/>
          </w:tcPr>
          <w:p>
            <w:pPr>
              <w:spacing w:after="20"/>
            </w:pPr>
            <w:r>
              <w:rPr>
                <w:sz w:val="15"/>
              </w:rPr>
              <w:t>Include in normal improvement backlog.</w:t>
            </w:r>
          </w:p>
        </w:tc>
      </w:tr>
    </w:tbl>
    <w:p>
      <w:pPr>
        <w:spacing w:after="0"/>
      </w:pPr>
    </w:p>
    <w:p>
      <w:pPr>
        <w:pStyle w:val="Heading2"/>
      </w:pPr>
      <w:r>
        <w:t>Exception decision record</w:t>
      </w:r>
    </w:p>
    <w:tbl>
      <w:tblPr>
        <w:tblStyle w:val="TableGrid"/>
        <w:tblW w:type="auto" w:w="0"/>
        <w:jc w:val="center"/>
        <w:tblLook w:firstColumn="1" w:firstRow="1" w:lastColumn="0" w:lastRow="0" w:noHBand="0" w:noVBand="1" w:val="04A0"/>
      </w:tblPr>
      <w:tblGrid>
        <w:gridCol w:w="2045"/>
        <w:gridCol w:w="2045"/>
        <w:gridCol w:w="2045"/>
        <w:gridCol w:w="2045"/>
        <w:gridCol w:w="2045"/>
      </w:tblGrid>
      <w:tr>
        <w:trPr>
          <w:tblHeader w:val="true"/>
        </w:trPr>
        <w:tc>
          <w:tcPr>
            <w:tcW w:type="dxa" w:w="1080"/>
            <w:shd w:fill="16324F"/>
          </w:tcPr>
          <w:p>
            <w:r>
              <w:rPr>
                <w:b/>
                <w:color w:val="FFFFFF"/>
                <w:sz w:val="16"/>
              </w:rPr>
              <w:t>Gap ID</w:t>
            </w:r>
          </w:p>
        </w:tc>
        <w:tc>
          <w:tcPr>
            <w:tcW w:type="dxa" w:w="1584"/>
            <w:shd w:fill="16324F"/>
          </w:tcPr>
          <w:p>
            <w:r>
              <w:rPr>
                <w:b/>
                <w:color w:val="FFFFFF"/>
                <w:sz w:val="16"/>
              </w:rPr>
              <w:t>Decision</w:t>
            </w:r>
          </w:p>
        </w:tc>
        <w:tc>
          <w:tcPr>
            <w:tcW w:type="dxa" w:w="2160"/>
            <w:shd w:fill="16324F"/>
          </w:tcPr>
          <w:p>
            <w:r>
              <w:rPr>
                <w:b/>
                <w:color w:val="FFFFFF"/>
                <w:sz w:val="16"/>
              </w:rPr>
              <w:t>Residual risk accepted by</w:t>
            </w:r>
          </w:p>
        </w:tc>
        <w:tc>
          <w:tcPr>
            <w:tcW w:type="dxa" w:w="1728"/>
            <w:shd w:fill="16324F"/>
          </w:tcPr>
          <w:p>
            <w:r>
              <w:rPr>
                <w:b/>
                <w:color w:val="FFFFFF"/>
                <w:sz w:val="16"/>
              </w:rPr>
              <w:t>Expiration / review</w:t>
            </w:r>
          </w:p>
        </w:tc>
        <w:tc>
          <w:tcPr>
            <w:tcW w:type="dxa" w:w="3096"/>
            <w:shd w:fill="16324F"/>
          </w:tcPr>
          <w:p>
            <w:r>
              <w:rPr>
                <w:b/>
                <w:color w:val="FFFFFF"/>
                <w:sz w:val="16"/>
              </w:rPr>
              <w:t>Conditions and monitoring</w:t>
            </w:r>
          </w:p>
        </w:tc>
      </w:tr>
      <w:tr>
        <w:tc>
          <w:tcPr>
            <w:tcW w:type="dxa" w:w="1080"/>
            <w:vAlign w:val="center"/>
          </w:tcPr>
          <w:p>
            <w:pPr>
              <w:spacing w:after="20"/>
            </w:pPr>
            <w:r>
              <w:rPr>
                <w:sz w:val="15"/>
              </w:rPr>
            </w:r>
          </w:p>
        </w:tc>
        <w:tc>
          <w:tcPr>
            <w:tcW w:type="dxa" w:w="1584"/>
            <w:vAlign w:val="center"/>
          </w:tcPr>
          <w:p>
            <w:pPr>
              <w:spacing w:after="20"/>
            </w:pPr>
            <w:r>
              <w:rPr>
                <w:sz w:val="15"/>
              </w:rPr>
            </w:r>
          </w:p>
        </w:tc>
        <w:tc>
          <w:tcPr>
            <w:tcW w:type="dxa" w:w="2160"/>
            <w:vAlign w:val="center"/>
          </w:tcPr>
          <w:p>
            <w:pPr>
              <w:spacing w:after="20"/>
            </w:pPr>
            <w:r>
              <w:rPr>
                <w:sz w:val="15"/>
              </w:rPr>
            </w:r>
          </w:p>
        </w:tc>
        <w:tc>
          <w:tcPr>
            <w:tcW w:type="dxa" w:w="1728"/>
            <w:vAlign w:val="center"/>
          </w:tcPr>
          <w:p>
            <w:pPr>
              <w:spacing w:after="20"/>
            </w:pPr>
            <w:r>
              <w:rPr>
                <w:sz w:val="15"/>
              </w:rPr>
            </w:r>
          </w:p>
        </w:tc>
        <w:tc>
          <w:tcPr>
            <w:tcW w:type="dxa" w:w="3096"/>
            <w:vAlign w:val="center"/>
          </w:tcPr>
          <w:p>
            <w:pPr>
              <w:spacing w:after="20"/>
            </w:pPr>
            <w:r>
              <w:rPr>
                <w:sz w:val="15"/>
              </w:rPr>
            </w:r>
          </w:p>
        </w:tc>
      </w:tr>
      <w:tr>
        <w:tc>
          <w:tcPr>
            <w:tcW w:type="dxa" w:w="1080"/>
            <w:vAlign w:val="center"/>
            <w:shd w:fill="EAF2F7"/>
          </w:tcPr>
          <w:p>
            <w:pPr>
              <w:spacing w:after="20"/>
            </w:pPr>
            <w:r>
              <w:rPr>
                <w:sz w:val="15"/>
              </w:rPr>
            </w:r>
          </w:p>
        </w:tc>
        <w:tc>
          <w:tcPr>
            <w:tcW w:type="dxa" w:w="1584"/>
            <w:vAlign w:val="center"/>
            <w:shd w:fill="EAF2F7"/>
          </w:tcPr>
          <w:p>
            <w:pPr>
              <w:spacing w:after="20"/>
            </w:pPr>
            <w:r>
              <w:rPr>
                <w:sz w:val="15"/>
              </w:rPr>
            </w:r>
          </w:p>
        </w:tc>
        <w:tc>
          <w:tcPr>
            <w:tcW w:type="dxa" w:w="2160"/>
            <w:vAlign w:val="center"/>
            <w:shd w:fill="EAF2F7"/>
          </w:tcPr>
          <w:p>
            <w:pPr>
              <w:spacing w:after="20"/>
            </w:pPr>
            <w:r>
              <w:rPr>
                <w:sz w:val="15"/>
              </w:rPr>
            </w:r>
          </w:p>
        </w:tc>
        <w:tc>
          <w:tcPr>
            <w:tcW w:type="dxa" w:w="1728"/>
            <w:vAlign w:val="center"/>
            <w:shd w:fill="EAF2F7"/>
          </w:tcPr>
          <w:p>
            <w:pPr>
              <w:spacing w:after="20"/>
            </w:pPr>
            <w:r>
              <w:rPr>
                <w:sz w:val="15"/>
              </w:rPr>
            </w:r>
          </w:p>
        </w:tc>
        <w:tc>
          <w:tcPr>
            <w:tcW w:type="dxa" w:w="3096"/>
            <w:vAlign w:val="center"/>
            <w:shd w:fill="EAF2F7"/>
          </w:tcPr>
          <w:p>
            <w:pPr>
              <w:spacing w:after="20"/>
            </w:pPr>
            <w:r>
              <w:rPr>
                <w:sz w:val="15"/>
              </w:rPr>
            </w:r>
          </w:p>
        </w:tc>
      </w:tr>
      <w:tr>
        <w:tc>
          <w:tcPr>
            <w:tcW w:type="dxa" w:w="1080"/>
            <w:vAlign w:val="center"/>
          </w:tcPr>
          <w:p>
            <w:pPr>
              <w:spacing w:after="20"/>
            </w:pPr>
            <w:r>
              <w:rPr>
                <w:sz w:val="15"/>
              </w:rPr>
            </w:r>
          </w:p>
        </w:tc>
        <w:tc>
          <w:tcPr>
            <w:tcW w:type="dxa" w:w="1584"/>
            <w:vAlign w:val="center"/>
          </w:tcPr>
          <w:p>
            <w:pPr>
              <w:spacing w:after="20"/>
            </w:pPr>
            <w:r>
              <w:rPr>
                <w:sz w:val="15"/>
              </w:rPr>
            </w:r>
          </w:p>
        </w:tc>
        <w:tc>
          <w:tcPr>
            <w:tcW w:type="dxa" w:w="2160"/>
            <w:vAlign w:val="center"/>
          </w:tcPr>
          <w:p>
            <w:pPr>
              <w:spacing w:after="20"/>
            </w:pPr>
            <w:r>
              <w:rPr>
                <w:sz w:val="15"/>
              </w:rPr>
            </w:r>
          </w:p>
        </w:tc>
        <w:tc>
          <w:tcPr>
            <w:tcW w:type="dxa" w:w="1728"/>
            <w:vAlign w:val="center"/>
          </w:tcPr>
          <w:p>
            <w:pPr>
              <w:spacing w:after="20"/>
            </w:pPr>
            <w:r>
              <w:rPr>
                <w:sz w:val="15"/>
              </w:rPr>
            </w:r>
          </w:p>
        </w:tc>
        <w:tc>
          <w:tcPr>
            <w:tcW w:type="dxa" w:w="3096"/>
            <w:vAlign w:val="center"/>
          </w:tcPr>
          <w:p>
            <w:pPr>
              <w:spacing w:after="20"/>
            </w:pPr>
            <w:r>
              <w:rPr>
                <w:sz w:val="15"/>
              </w:rPr>
            </w:r>
          </w:p>
        </w:tc>
      </w:tr>
    </w:tbl>
    <w:p>
      <w:pPr>
        <w:spacing w:after="0"/>
      </w:pPr>
    </w:p>
    <w:p>
      <w:r>
        <w:br w:type="page"/>
      </w:r>
    </w:p>
    <w:p>
      <w:pPr>
        <w:pStyle w:val="Heading1"/>
      </w:pPr>
      <w:r>
        <w:t>6. Application answer review log</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rPr>
          <w:tblHeader w:val="true"/>
        </w:trPr>
        <w:tc>
          <w:tcPr>
            <w:tcW w:type="dxa" w:w="648"/>
            <w:shd w:fill="16324F"/>
          </w:tcPr>
          <w:p>
            <w:r>
              <w:rPr>
                <w:b/>
                <w:color w:val="FFFFFF"/>
                <w:sz w:val="16"/>
              </w:rPr>
              <w:t>Q#</w:t>
            </w:r>
          </w:p>
        </w:tc>
        <w:tc>
          <w:tcPr>
            <w:tcW w:type="dxa" w:w="3240"/>
            <w:shd w:fill="16324F"/>
          </w:tcPr>
          <w:p>
            <w:r>
              <w:rPr>
                <w:b/>
                <w:color w:val="FFFFFF"/>
                <w:sz w:val="16"/>
              </w:rPr>
              <w:t>Exact answer / representation</w:t>
            </w:r>
          </w:p>
        </w:tc>
        <w:tc>
          <w:tcPr>
            <w:tcW w:type="dxa" w:w="2232"/>
            <w:shd w:fill="16324F"/>
          </w:tcPr>
          <w:p>
            <w:r>
              <w:rPr>
                <w:b/>
                <w:color w:val="FFFFFF"/>
                <w:sz w:val="16"/>
              </w:rPr>
              <w:t>Qualifier or exception</w:t>
            </w:r>
          </w:p>
        </w:tc>
        <w:tc>
          <w:tcPr>
            <w:tcW w:type="dxa" w:w="1152"/>
            <w:shd w:fill="16324F"/>
          </w:tcPr>
          <w:p>
            <w:r>
              <w:rPr>
                <w:b/>
                <w:color w:val="FFFFFF"/>
                <w:sz w:val="16"/>
              </w:rPr>
              <w:t>Evidence IDs</w:t>
            </w:r>
          </w:p>
        </w:tc>
        <w:tc>
          <w:tcPr>
            <w:tcW w:type="dxa" w:w="1656"/>
            <w:shd w:fill="16324F"/>
          </w:tcPr>
          <w:p>
            <w:r>
              <w:rPr>
                <w:b/>
                <w:color w:val="FFFFFF"/>
                <w:sz w:val="16"/>
              </w:rPr>
              <w:t>Control-owner approval</w:t>
            </w:r>
          </w:p>
        </w:tc>
        <w:tc>
          <w:tcPr>
            <w:tcW w:type="dxa" w:w="1440"/>
            <w:shd w:fill="16324F"/>
          </w:tcPr>
          <w:p>
            <w:r>
              <w:rPr>
                <w:b/>
                <w:color w:val="FFFFFF"/>
                <w:sz w:val="16"/>
              </w:rPr>
              <w:t>Legal review</w:t>
            </w:r>
          </w:p>
        </w:tc>
      </w:tr>
      <w:tr>
        <w:tc>
          <w:tcPr>
            <w:tcW w:type="dxa" w:w="648"/>
            <w:vAlign w:val="center"/>
          </w:tcPr>
          <w:p>
            <w:pPr>
              <w:spacing w:after="20"/>
            </w:pPr>
            <w:r>
              <w:rPr>
                <w:sz w:val="15"/>
              </w:rPr>
            </w:r>
          </w:p>
        </w:tc>
        <w:tc>
          <w:tcPr>
            <w:tcW w:type="dxa" w:w="3240"/>
            <w:vAlign w:val="center"/>
          </w:tcPr>
          <w:p>
            <w:pPr>
              <w:spacing w:after="20"/>
            </w:pPr>
            <w:r>
              <w:rPr>
                <w:sz w:val="15"/>
              </w:rPr>
            </w:r>
          </w:p>
        </w:tc>
        <w:tc>
          <w:tcPr>
            <w:tcW w:type="dxa" w:w="2232"/>
            <w:vAlign w:val="center"/>
          </w:tcPr>
          <w:p>
            <w:pPr>
              <w:spacing w:after="20"/>
            </w:pPr>
            <w:r>
              <w:rPr>
                <w:sz w:val="15"/>
              </w:rPr>
            </w:r>
          </w:p>
        </w:tc>
        <w:tc>
          <w:tcPr>
            <w:tcW w:type="dxa" w:w="1152"/>
            <w:vAlign w:val="center"/>
          </w:tcPr>
          <w:p>
            <w:pPr>
              <w:spacing w:after="20"/>
            </w:pPr>
            <w:r>
              <w:rPr>
                <w:sz w:val="15"/>
              </w:rPr>
            </w:r>
          </w:p>
        </w:tc>
        <w:tc>
          <w:tcPr>
            <w:tcW w:type="dxa" w:w="1656"/>
            <w:vAlign w:val="center"/>
          </w:tcPr>
          <w:p>
            <w:pPr>
              <w:spacing w:after="20"/>
            </w:pPr>
            <w:r>
              <w:rPr>
                <w:sz w:val="15"/>
              </w:rPr>
            </w:r>
          </w:p>
        </w:tc>
        <w:tc>
          <w:tcPr>
            <w:tcW w:type="dxa" w:w="1440"/>
            <w:vAlign w:val="center"/>
          </w:tcPr>
          <w:p>
            <w:pPr>
              <w:spacing w:after="20"/>
            </w:pPr>
            <w:r>
              <w:rPr>
                <w:sz w:val="15"/>
              </w:rPr>
            </w:r>
          </w:p>
        </w:tc>
      </w:tr>
      <w:tr>
        <w:tc>
          <w:tcPr>
            <w:tcW w:type="dxa" w:w="648"/>
            <w:vAlign w:val="center"/>
            <w:shd w:fill="EAF2F7"/>
          </w:tcPr>
          <w:p>
            <w:pPr>
              <w:spacing w:after="20"/>
            </w:pPr>
            <w:r>
              <w:rPr>
                <w:sz w:val="15"/>
              </w:rPr>
            </w:r>
          </w:p>
        </w:tc>
        <w:tc>
          <w:tcPr>
            <w:tcW w:type="dxa" w:w="3240"/>
            <w:vAlign w:val="center"/>
            <w:shd w:fill="EAF2F7"/>
          </w:tcPr>
          <w:p>
            <w:pPr>
              <w:spacing w:after="20"/>
            </w:pPr>
            <w:r>
              <w:rPr>
                <w:sz w:val="15"/>
              </w:rPr>
            </w:r>
          </w:p>
        </w:tc>
        <w:tc>
          <w:tcPr>
            <w:tcW w:type="dxa" w:w="2232"/>
            <w:vAlign w:val="center"/>
            <w:shd w:fill="EAF2F7"/>
          </w:tcPr>
          <w:p>
            <w:pPr>
              <w:spacing w:after="20"/>
            </w:pPr>
            <w:r>
              <w:rPr>
                <w:sz w:val="15"/>
              </w:rPr>
            </w:r>
          </w:p>
        </w:tc>
        <w:tc>
          <w:tcPr>
            <w:tcW w:type="dxa" w:w="1152"/>
            <w:vAlign w:val="center"/>
            <w:shd w:fill="EAF2F7"/>
          </w:tcPr>
          <w:p>
            <w:pPr>
              <w:spacing w:after="20"/>
            </w:pPr>
            <w:r>
              <w:rPr>
                <w:sz w:val="15"/>
              </w:rPr>
            </w:r>
          </w:p>
        </w:tc>
        <w:tc>
          <w:tcPr>
            <w:tcW w:type="dxa" w:w="1656"/>
            <w:vAlign w:val="center"/>
            <w:shd w:fill="EAF2F7"/>
          </w:tcPr>
          <w:p>
            <w:pPr>
              <w:spacing w:after="20"/>
            </w:pPr>
            <w:r>
              <w:rPr>
                <w:sz w:val="15"/>
              </w:rPr>
            </w:r>
          </w:p>
        </w:tc>
        <w:tc>
          <w:tcPr>
            <w:tcW w:type="dxa" w:w="1440"/>
            <w:vAlign w:val="center"/>
            <w:shd w:fill="EAF2F7"/>
          </w:tcPr>
          <w:p>
            <w:pPr>
              <w:spacing w:after="20"/>
            </w:pPr>
            <w:r>
              <w:rPr>
                <w:sz w:val="15"/>
              </w:rPr>
            </w:r>
          </w:p>
        </w:tc>
      </w:tr>
      <w:tr>
        <w:tc>
          <w:tcPr>
            <w:tcW w:type="dxa" w:w="648"/>
            <w:vAlign w:val="center"/>
          </w:tcPr>
          <w:p>
            <w:pPr>
              <w:spacing w:after="20"/>
            </w:pPr>
            <w:r>
              <w:rPr>
                <w:sz w:val="15"/>
              </w:rPr>
            </w:r>
          </w:p>
        </w:tc>
        <w:tc>
          <w:tcPr>
            <w:tcW w:type="dxa" w:w="3240"/>
            <w:vAlign w:val="center"/>
          </w:tcPr>
          <w:p>
            <w:pPr>
              <w:spacing w:after="20"/>
            </w:pPr>
            <w:r>
              <w:rPr>
                <w:sz w:val="15"/>
              </w:rPr>
            </w:r>
          </w:p>
        </w:tc>
        <w:tc>
          <w:tcPr>
            <w:tcW w:type="dxa" w:w="2232"/>
            <w:vAlign w:val="center"/>
          </w:tcPr>
          <w:p>
            <w:pPr>
              <w:spacing w:after="20"/>
            </w:pPr>
            <w:r>
              <w:rPr>
                <w:sz w:val="15"/>
              </w:rPr>
            </w:r>
          </w:p>
        </w:tc>
        <w:tc>
          <w:tcPr>
            <w:tcW w:type="dxa" w:w="1152"/>
            <w:vAlign w:val="center"/>
          </w:tcPr>
          <w:p>
            <w:pPr>
              <w:spacing w:after="20"/>
            </w:pPr>
            <w:r>
              <w:rPr>
                <w:sz w:val="15"/>
              </w:rPr>
            </w:r>
          </w:p>
        </w:tc>
        <w:tc>
          <w:tcPr>
            <w:tcW w:type="dxa" w:w="1656"/>
            <w:vAlign w:val="center"/>
          </w:tcPr>
          <w:p>
            <w:pPr>
              <w:spacing w:after="20"/>
            </w:pPr>
            <w:r>
              <w:rPr>
                <w:sz w:val="15"/>
              </w:rPr>
            </w:r>
          </w:p>
        </w:tc>
        <w:tc>
          <w:tcPr>
            <w:tcW w:type="dxa" w:w="1440"/>
            <w:vAlign w:val="center"/>
          </w:tcPr>
          <w:p>
            <w:pPr>
              <w:spacing w:after="20"/>
            </w:pPr>
            <w:r>
              <w:rPr>
                <w:sz w:val="15"/>
              </w:rPr>
            </w:r>
          </w:p>
        </w:tc>
      </w:tr>
      <w:tr>
        <w:tc>
          <w:tcPr>
            <w:tcW w:type="dxa" w:w="648"/>
            <w:vAlign w:val="center"/>
            <w:shd w:fill="EAF2F7"/>
          </w:tcPr>
          <w:p>
            <w:pPr>
              <w:spacing w:after="20"/>
            </w:pPr>
            <w:r>
              <w:rPr>
                <w:sz w:val="15"/>
              </w:rPr>
            </w:r>
          </w:p>
        </w:tc>
        <w:tc>
          <w:tcPr>
            <w:tcW w:type="dxa" w:w="3240"/>
            <w:vAlign w:val="center"/>
            <w:shd w:fill="EAF2F7"/>
          </w:tcPr>
          <w:p>
            <w:pPr>
              <w:spacing w:after="20"/>
            </w:pPr>
            <w:r>
              <w:rPr>
                <w:sz w:val="15"/>
              </w:rPr>
            </w:r>
          </w:p>
        </w:tc>
        <w:tc>
          <w:tcPr>
            <w:tcW w:type="dxa" w:w="2232"/>
            <w:vAlign w:val="center"/>
            <w:shd w:fill="EAF2F7"/>
          </w:tcPr>
          <w:p>
            <w:pPr>
              <w:spacing w:after="20"/>
            </w:pPr>
            <w:r>
              <w:rPr>
                <w:sz w:val="15"/>
              </w:rPr>
            </w:r>
          </w:p>
        </w:tc>
        <w:tc>
          <w:tcPr>
            <w:tcW w:type="dxa" w:w="1152"/>
            <w:vAlign w:val="center"/>
            <w:shd w:fill="EAF2F7"/>
          </w:tcPr>
          <w:p>
            <w:pPr>
              <w:spacing w:after="20"/>
            </w:pPr>
            <w:r>
              <w:rPr>
                <w:sz w:val="15"/>
              </w:rPr>
            </w:r>
          </w:p>
        </w:tc>
        <w:tc>
          <w:tcPr>
            <w:tcW w:type="dxa" w:w="1656"/>
            <w:vAlign w:val="center"/>
            <w:shd w:fill="EAF2F7"/>
          </w:tcPr>
          <w:p>
            <w:pPr>
              <w:spacing w:after="20"/>
            </w:pPr>
            <w:r>
              <w:rPr>
                <w:sz w:val="15"/>
              </w:rPr>
            </w:r>
          </w:p>
        </w:tc>
        <w:tc>
          <w:tcPr>
            <w:tcW w:type="dxa" w:w="1440"/>
            <w:vAlign w:val="center"/>
            <w:shd w:fill="EAF2F7"/>
          </w:tcPr>
          <w:p>
            <w:pPr>
              <w:spacing w:after="20"/>
            </w:pPr>
            <w:r>
              <w:rPr>
                <w:sz w:val="15"/>
              </w:rPr>
            </w:r>
          </w:p>
        </w:tc>
      </w:tr>
      <w:tr>
        <w:tc>
          <w:tcPr>
            <w:tcW w:type="dxa" w:w="648"/>
            <w:vAlign w:val="center"/>
          </w:tcPr>
          <w:p>
            <w:pPr>
              <w:spacing w:after="20"/>
            </w:pPr>
            <w:r>
              <w:rPr>
                <w:sz w:val="15"/>
              </w:rPr>
            </w:r>
          </w:p>
        </w:tc>
        <w:tc>
          <w:tcPr>
            <w:tcW w:type="dxa" w:w="3240"/>
            <w:vAlign w:val="center"/>
          </w:tcPr>
          <w:p>
            <w:pPr>
              <w:spacing w:after="20"/>
            </w:pPr>
            <w:r>
              <w:rPr>
                <w:sz w:val="15"/>
              </w:rPr>
            </w:r>
          </w:p>
        </w:tc>
        <w:tc>
          <w:tcPr>
            <w:tcW w:type="dxa" w:w="2232"/>
            <w:vAlign w:val="center"/>
          </w:tcPr>
          <w:p>
            <w:pPr>
              <w:spacing w:after="20"/>
            </w:pPr>
            <w:r>
              <w:rPr>
                <w:sz w:val="15"/>
              </w:rPr>
            </w:r>
          </w:p>
        </w:tc>
        <w:tc>
          <w:tcPr>
            <w:tcW w:type="dxa" w:w="1152"/>
            <w:vAlign w:val="center"/>
          </w:tcPr>
          <w:p>
            <w:pPr>
              <w:spacing w:after="20"/>
            </w:pPr>
            <w:r>
              <w:rPr>
                <w:sz w:val="15"/>
              </w:rPr>
            </w:r>
          </w:p>
        </w:tc>
        <w:tc>
          <w:tcPr>
            <w:tcW w:type="dxa" w:w="1656"/>
            <w:vAlign w:val="center"/>
          </w:tcPr>
          <w:p>
            <w:pPr>
              <w:spacing w:after="20"/>
            </w:pPr>
            <w:r>
              <w:rPr>
                <w:sz w:val="15"/>
              </w:rPr>
            </w:r>
          </w:p>
        </w:tc>
        <w:tc>
          <w:tcPr>
            <w:tcW w:type="dxa" w:w="1440"/>
            <w:vAlign w:val="center"/>
          </w:tcPr>
          <w:p>
            <w:pPr>
              <w:spacing w:after="20"/>
            </w:pPr>
            <w:r>
              <w:rPr>
                <w:sz w:val="15"/>
              </w:rPr>
            </w:r>
          </w:p>
        </w:tc>
      </w:tr>
      <w:tr>
        <w:tc>
          <w:tcPr>
            <w:tcW w:type="dxa" w:w="648"/>
            <w:vAlign w:val="center"/>
            <w:shd w:fill="EAF2F7"/>
          </w:tcPr>
          <w:p>
            <w:pPr>
              <w:spacing w:after="20"/>
            </w:pPr>
            <w:r>
              <w:rPr>
                <w:sz w:val="15"/>
              </w:rPr>
            </w:r>
          </w:p>
        </w:tc>
        <w:tc>
          <w:tcPr>
            <w:tcW w:type="dxa" w:w="3240"/>
            <w:vAlign w:val="center"/>
            <w:shd w:fill="EAF2F7"/>
          </w:tcPr>
          <w:p>
            <w:pPr>
              <w:spacing w:after="20"/>
            </w:pPr>
            <w:r>
              <w:rPr>
                <w:sz w:val="15"/>
              </w:rPr>
            </w:r>
          </w:p>
        </w:tc>
        <w:tc>
          <w:tcPr>
            <w:tcW w:type="dxa" w:w="2232"/>
            <w:vAlign w:val="center"/>
            <w:shd w:fill="EAF2F7"/>
          </w:tcPr>
          <w:p>
            <w:pPr>
              <w:spacing w:after="20"/>
            </w:pPr>
            <w:r>
              <w:rPr>
                <w:sz w:val="15"/>
              </w:rPr>
            </w:r>
          </w:p>
        </w:tc>
        <w:tc>
          <w:tcPr>
            <w:tcW w:type="dxa" w:w="1152"/>
            <w:vAlign w:val="center"/>
            <w:shd w:fill="EAF2F7"/>
          </w:tcPr>
          <w:p>
            <w:pPr>
              <w:spacing w:after="20"/>
            </w:pPr>
            <w:r>
              <w:rPr>
                <w:sz w:val="15"/>
              </w:rPr>
            </w:r>
          </w:p>
        </w:tc>
        <w:tc>
          <w:tcPr>
            <w:tcW w:type="dxa" w:w="1656"/>
            <w:vAlign w:val="center"/>
            <w:shd w:fill="EAF2F7"/>
          </w:tcPr>
          <w:p>
            <w:pPr>
              <w:spacing w:after="20"/>
            </w:pPr>
            <w:r>
              <w:rPr>
                <w:sz w:val="15"/>
              </w:rPr>
            </w:r>
          </w:p>
        </w:tc>
        <w:tc>
          <w:tcPr>
            <w:tcW w:type="dxa" w:w="1440"/>
            <w:vAlign w:val="center"/>
            <w:shd w:fill="EAF2F7"/>
          </w:tcPr>
          <w:p>
            <w:pPr>
              <w:spacing w:after="20"/>
            </w:pPr>
            <w:r>
              <w:rPr>
                <w:sz w:val="15"/>
              </w:rPr>
            </w:r>
          </w:p>
        </w:tc>
      </w:tr>
      <w:tr>
        <w:tc>
          <w:tcPr>
            <w:tcW w:type="dxa" w:w="648"/>
            <w:vAlign w:val="center"/>
          </w:tcPr>
          <w:p>
            <w:pPr>
              <w:spacing w:after="20"/>
            </w:pPr>
            <w:r>
              <w:rPr>
                <w:sz w:val="15"/>
              </w:rPr>
            </w:r>
          </w:p>
        </w:tc>
        <w:tc>
          <w:tcPr>
            <w:tcW w:type="dxa" w:w="3240"/>
            <w:vAlign w:val="center"/>
          </w:tcPr>
          <w:p>
            <w:pPr>
              <w:spacing w:after="20"/>
            </w:pPr>
            <w:r>
              <w:rPr>
                <w:sz w:val="15"/>
              </w:rPr>
            </w:r>
          </w:p>
        </w:tc>
        <w:tc>
          <w:tcPr>
            <w:tcW w:type="dxa" w:w="2232"/>
            <w:vAlign w:val="center"/>
          </w:tcPr>
          <w:p>
            <w:pPr>
              <w:spacing w:after="20"/>
            </w:pPr>
            <w:r>
              <w:rPr>
                <w:sz w:val="15"/>
              </w:rPr>
            </w:r>
          </w:p>
        </w:tc>
        <w:tc>
          <w:tcPr>
            <w:tcW w:type="dxa" w:w="1152"/>
            <w:vAlign w:val="center"/>
          </w:tcPr>
          <w:p>
            <w:pPr>
              <w:spacing w:after="20"/>
            </w:pPr>
            <w:r>
              <w:rPr>
                <w:sz w:val="15"/>
              </w:rPr>
            </w:r>
          </w:p>
        </w:tc>
        <w:tc>
          <w:tcPr>
            <w:tcW w:type="dxa" w:w="1656"/>
            <w:vAlign w:val="center"/>
          </w:tcPr>
          <w:p>
            <w:pPr>
              <w:spacing w:after="20"/>
            </w:pPr>
            <w:r>
              <w:rPr>
                <w:sz w:val="15"/>
              </w:rPr>
            </w:r>
          </w:p>
        </w:tc>
        <w:tc>
          <w:tcPr>
            <w:tcW w:type="dxa" w:w="1440"/>
            <w:vAlign w:val="center"/>
          </w:tcPr>
          <w:p>
            <w:pPr>
              <w:spacing w:after="20"/>
            </w:pPr>
            <w:r>
              <w:rPr>
                <w:sz w:val="15"/>
              </w:rPr>
            </w:r>
          </w:p>
        </w:tc>
      </w:tr>
      <w:tr>
        <w:tc>
          <w:tcPr>
            <w:tcW w:type="dxa" w:w="648"/>
            <w:vAlign w:val="center"/>
            <w:shd w:fill="EAF2F7"/>
          </w:tcPr>
          <w:p>
            <w:pPr>
              <w:spacing w:after="20"/>
            </w:pPr>
            <w:r>
              <w:rPr>
                <w:sz w:val="15"/>
              </w:rPr>
            </w:r>
          </w:p>
        </w:tc>
        <w:tc>
          <w:tcPr>
            <w:tcW w:type="dxa" w:w="3240"/>
            <w:vAlign w:val="center"/>
            <w:shd w:fill="EAF2F7"/>
          </w:tcPr>
          <w:p>
            <w:pPr>
              <w:spacing w:after="20"/>
            </w:pPr>
            <w:r>
              <w:rPr>
                <w:sz w:val="15"/>
              </w:rPr>
            </w:r>
          </w:p>
        </w:tc>
        <w:tc>
          <w:tcPr>
            <w:tcW w:type="dxa" w:w="2232"/>
            <w:vAlign w:val="center"/>
            <w:shd w:fill="EAF2F7"/>
          </w:tcPr>
          <w:p>
            <w:pPr>
              <w:spacing w:after="20"/>
            </w:pPr>
            <w:r>
              <w:rPr>
                <w:sz w:val="15"/>
              </w:rPr>
            </w:r>
          </w:p>
        </w:tc>
        <w:tc>
          <w:tcPr>
            <w:tcW w:type="dxa" w:w="1152"/>
            <w:vAlign w:val="center"/>
            <w:shd w:fill="EAF2F7"/>
          </w:tcPr>
          <w:p>
            <w:pPr>
              <w:spacing w:after="20"/>
            </w:pPr>
            <w:r>
              <w:rPr>
                <w:sz w:val="15"/>
              </w:rPr>
            </w:r>
          </w:p>
        </w:tc>
        <w:tc>
          <w:tcPr>
            <w:tcW w:type="dxa" w:w="1656"/>
            <w:vAlign w:val="center"/>
            <w:shd w:fill="EAF2F7"/>
          </w:tcPr>
          <w:p>
            <w:pPr>
              <w:spacing w:after="20"/>
            </w:pPr>
            <w:r>
              <w:rPr>
                <w:sz w:val="15"/>
              </w:rPr>
            </w:r>
          </w:p>
        </w:tc>
        <w:tc>
          <w:tcPr>
            <w:tcW w:type="dxa" w:w="1440"/>
            <w:vAlign w:val="center"/>
            <w:shd w:fill="EAF2F7"/>
          </w:tcPr>
          <w:p>
            <w:pPr>
              <w:spacing w:after="20"/>
            </w:pPr>
            <w:r>
              <w:rPr>
                <w:sz w:val="15"/>
              </w:rPr>
            </w:r>
          </w:p>
        </w:tc>
      </w:tr>
    </w:tbl>
    <w:p>
      <w:pPr>
        <w:spacing w:after="0"/>
      </w:pPr>
    </w:p>
    <w:p>
      <w:pPr>
        <w:pStyle w:val="Heading2"/>
      </w:pPr>
      <w:r>
        <w:t>Reviewer challenge questions</w:t>
      </w:r>
    </w:p>
    <w:p>
      <w:pPr>
        <w:pStyle w:val="ListBullet"/>
      </w:pPr>
      <w:r>
        <w:t>Does the answer apply to every entity, system, user, and location in scope? If not, is the exception explicit?</w:t>
      </w:r>
    </w:p>
    <w:p>
      <w:pPr>
        <w:pStyle w:val="ListBullet"/>
      </w:pPr>
      <w:r>
        <w:t>Does the insurer define the term differently from the organization’s internal terminology?</w:t>
      </w:r>
    </w:p>
    <w:p>
      <w:pPr>
        <w:pStyle w:val="ListBullet"/>
      </w:pPr>
      <w:r>
        <w:t>Is the answer true today, and is it expected to remain true through binding?</w:t>
      </w:r>
    </w:p>
    <w:p>
      <w:pPr>
        <w:pStyle w:val="ListBullet"/>
      </w:pPr>
      <w:r>
        <w:t>Does any planned remediation date imply the control is already operating?</w:t>
      </w:r>
    </w:p>
    <w:p>
      <w:pPr>
        <w:pStyle w:val="ListBullet"/>
      </w:pPr>
      <w:r>
        <w:t>Could a prior incident, pending demand, outage, or investigation qualify as a known circumstance?</w:t>
      </w:r>
    </w:p>
    <w:p>
      <w:pPr>
        <w:pStyle w:val="ListBullet"/>
      </w:pPr>
      <w:r>
        <w:t>Would the retained evidence allow an independent reviewer to reproduce the conclusion?</w:t>
      </w:r>
    </w:p>
    <w:p>
      <w:pPr>
        <w:pStyle w:val="Heading2"/>
      </w:pPr>
      <w:r>
        <w:t>Required approval statement</w:t>
      </w:r>
    </w:p>
    <w:p>
      <w:r>
        <w:t>Each approver confirms, to the best of their knowledge after reasonable inquiry, that assigned responses are accurate, complete, current as of the stated date, and supported by the referenced evidence. Approval does not replace review by qualified legal counsel, the insurance broker, or coverage specialists.</w:t>
      </w:r>
    </w:p>
    <w:p>
      <w:r>
        <w:br w:type="page"/>
      </w:r>
    </w:p>
    <w:p>
      <w:pPr>
        <w:pStyle w:val="Heading1"/>
      </w:pPr>
      <w:r>
        <w:t>7. Quote and coverage comparison</w:t>
      </w:r>
    </w:p>
    <w:p>
      <w:r>
        <w:t>Record the actual policy language and endorsements. Labels differ across carriers, and a checkmark is not a substitute for reviewing definitions, conditions, exclusions, and sublimits.</w:t>
      </w:r>
    </w:p>
    <w:tbl>
      <w:tblPr>
        <w:tblStyle w:val="TableGrid"/>
        <w:tblW w:type="auto" w:w="0"/>
        <w:jc w:val="center"/>
        <w:tblLook w:firstColumn="1" w:firstRow="1" w:lastColumn="0" w:lastRow="0" w:noHBand="0" w:noVBand="1" w:val="04A0"/>
      </w:tblPr>
      <w:tblGrid>
        <w:gridCol w:w="2045"/>
        <w:gridCol w:w="2045"/>
        <w:gridCol w:w="2045"/>
        <w:gridCol w:w="2045"/>
        <w:gridCol w:w="2045"/>
      </w:tblGrid>
      <w:tr>
        <w:trPr>
          <w:tblHeader w:val="true"/>
        </w:trPr>
        <w:tc>
          <w:tcPr>
            <w:tcW w:type="dxa" w:w="3456"/>
            <w:shd w:fill="16324F"/>
          </w:tcPr>
          <w:p>
            <w:r>
              <w:rPr>
                <w:b/>
                <w:color w:val="FFFFFF"/>
                <w:sz w:val="16"/>
              </w:rPr>
              <w:t>Comparison item</w:t>
            </w:r>
          </w:p>
        </w:tc>
        <w:tc>
          <w:tcPr>
            <w:tcW w:type="dxa" w:w="1440"/>
            <w:shd w:fill="16324F"/>
          </w:tcPr>
          <w:p>
            <w:r>
              <w:rPr>
                <w:b/>
                <w:color w:val="FFFFFF"/>
                <w:sz w:val="16"/>
              </w:rPr>
              <w:t>Option A</w:t>
            </w:r>
          </w:p>
        </w:tc>
        <w:tc>
          <w:tcPr>
            <w:tcW w:type="dxa" w:w="1440"/>
            <w:shd w:fill="16324F"/>
          </w:tcPr>
          <w:p>
            <w:r>
              <w:rPr>
                <w:b/>
                <w:color w:val="FFFFFF"/>
                <w:sz w:val="16"/>
              </w:rPr>
              <w:t>Option B</w:t>
            </w:r>
          </w:p>
        </w:tc>
        <w:tc>
          <w:tcPr>
            <w:tcW w:type="dxa" w:w="1440"/>
            <w:shd w:fill="16324F"/>
          </w:tcPr>
          <w:p>
            <w:r>
              <w:rPr>
                <w:b/>
                <w:color w:val="FFFFFF"/>
                <w:sz w:val="16"/>
              </w:rPr>
              <w:t>Option C</w:t>
            </w:r>
          </w:p>
        </w:tc>
        <w:tc>
          <w:tcPr>
            <w:tcW w:type="dxa" w:w="2160"/>
            <w:shd w:fill="16324F"/>
          </w:tcPr>
          <w:p>
            <w:r>
              <w:rPr>
                <w:b/>
                <w:color w:val="FFFFFF"/>
                <w:sz w:val="16"/>
              </w:rPr>
              <w:t>Decision note</w:t>
            </w:r>
          </w:p>
        </w:tc>
      </w:tr>
      <w:tr>
        <w:tc>
          <w:tcPr>
            <w:tcW w:type="dxa" w:w="3456"/>
            <w:vAlign w:val="center"/>
          </w:tcPr>
          <w:p>
            <w:pPr>
              <w:spacing w:after="20"/>
            </w:pPr>
            <w:r>
              <w:rPr>
                <w:sz w:val="15"/>
              </w:rPr>
              <w:t>Carrier / form / quote date</w:t>
            </w:r>
          </w:p>
        </w:tc>
        <w:tc>
          <w:tcPr>
            <w:tcW w:type="dxa" w:w="1440"/>
            <w:vAlign w:val="center"/>
          </w:tcPr>
          <w:p>
            <w:pPr>
              <w:spacing w:after="20"/>
            </w:pPr>
            <w:r>
              <w:rPr>
                <w:sz w:val="15"/>
              </w:rPr>
            </w:r>
          </w:p>
        </w:tc>
        <w:tc>
          <w:tcPr>
            <w:tcW w:type="dxa" w:w="1440"/>
            <w:vAlign w:val="center"/>
          </w:tcPr>
          <w:p>
            <w:pPr>
              <w:spacing w:after="20"/>
            </w:pPr>
            <w:r>
              <w:rPr>
                <w:sz w:val="15"/>
              </w:rPr>
            </w:r>
          </w:p>
        </w:tc>
        <w:tc>
          <w:tcPr>
            <w:tcW w:type="dxa" w:w="1440"/>
            <w:vAlign w:val="center"/>
          </w:tcPr>
          <w:p>
            <w:pPr>
              <w:spacing w:after="20"/>
            </w:pPr>
            <w:r>
              <w:rPr>
                <w:sz w:val="15"/>
              </w:rPr>
            </w:r>
          </w:p>
        </w:tc>
        <w:tc>
          <w:tcPr>
            <w:tcW w:type="dxa" w:w="2160"/>
            <w:vAlign w:val="center"/>
          </w:tcPr>
          <w:p>
            <w:pPr>
              <w:spacing w:after="20"/>
            </w:pPr>
            <w:r>
              <w:rPr>
                <w:sz w:val="15"/>
              </w:rPr>
            </w:r>
          </w:p>
        </w:tc>
      </w:tr>
      <w:tr>
        <w:tc>
          <w:tcPr>
            <w:tcW w:type="dxa" w:w="3456"/>
            <w:vAlign w:val="center"/>
            <w:shd w:fill="EAF2F7"/>
          </w:tcPr>
          <w:p>
            <w:pPr>
              <w:spacing w:after="20"/>
            </w:pPr>
            <w:r>
              <w:rPr>
                <w:sz w:val="15"/>
              </w:rPr>
              <w:t>Limit / retention / premium / taxes and fees</w:t>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2160"/>
            <w:vAlign w:val="center"/>
            <w:shd w:fill="EAF2F7"/>
          </w:tcPr>
          <w:p>
            <w:pPr>
              <w:spacing w:after="20"/>
            </w:pPr>
            <w:r>
              <w:rPr>
                <w:sz w:val="15"/>
              </w:rPr>
            </w:r>
          </w:p>
        </w:tc>
      </w:tr>
      <w:tr>
        <w:tc>
          <w:tcPr>
            <w:tcW w:type="dxa" w:w="3456"/>
            <w:vAlign w:val="center"/>
          </w:tcPr>
          <w:p>
            <w:pPr>
              <w:spacing w:after="20"/>
            </w:pPr>
            <w:r>
              <w:rPr>
                <w:sz w:val="15"/>
              </w:rPr>
              <w:t>Business interruption waiting period and restoration period</w:t>
            </w:r>
          </w:p>
        </w:tc>
        <w:tc>
          <w:tcPr>
            <w:tcW w:type="dxa" w:w="1440"/>
            <w:vAlign w:val="center"/>
          </w:tcPr>
          <w:p>
            <w:pPr>
              <w:spacing w:after="20"/>
            </w:pPr>
            <w:r>
              <w:rPr>
                <w:sz w:val="15"/>
              </w:rPr>
            </w:r>
          </w:p>
        </w:tc>
        <w:tc>
          <w:tcPr>
            <w:tcW w:type="dxa" w:w="1440"/>
            <w:vAlign w:val="center"/>
          </w:tcPr>
          <w:p>
            <w:pPr>
              <w:spacing w:after="20"/>
            </w:pPr>
            <w:r>
              <w:rPr>
                <w:sz w:val="15"/>
              </w:rPr>
            </w:r>
          </w:p>
        </w:tc>
        <w:tc>
          <w:tcPr>
            <w:tcW w:type="dxa" w:w="1440"/>
            <w:vAlign w:val="center"/>
          </w:tcPr>
          <w:p>
            <w:pPr>
              <w:spacing w:after="20"/>
            </w:pPr>
            <w:r>
              <w:rPr>
                <w:sz w:val="15"/>
              </w:rPr>
            </w:r>
          </w:p>
        </w:tc>
        <w:tc>
          <w:tcPr>
            <w:tcW w:type="dxa" w:w="2160"/>
            <w:vAlign w:val="center"/>
          </w:tcPr>
          <w:p>
            <w:pPr>
              <w:spacing w:after="20"/>
            </w:pPr>
            <w:r>
              <w:rPr>
                <w:sz w:val="15"/>
              </w:rPr>
            </w:r>
          </w:p>
        </w:tc>
      </w:tr>
      <w:tr>
        <w:tc>
          <w:tcPr>
            <w:tcW w:type="dxa" w:w="3456"/>
            <w:vAlign w:val="center"/>
            <w:shd w:fill="EAF2F7"/>
          </w:tcPr>
          <w:p>
            <w:pPr>
              <w:spacing w:after="20"/>
            </w:pPr>
            <w:r>
              <w:rPr>
                <w:sz w:val="15"/>
              </w:rPr>
              <w:t>Dependent business interruption and system failure</w:t>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2160"/>
            <w:vAlign w:val="center"/>
            <w:shd w:fill="EAF2F7"/>
          </w:tcPr>
          <w:p>
            <w:pPr>
              <w:spacing w:after="20"/>
            </w:pPr>
            <w:r>
              <w:rPr>
                <w:sz w:val="15"/>
              </w:rPr>
            </w:r>
          </w:p>
        </w:tc>
      </w:tr>
      <w:tr>
        <w:tc>
          <w:tcPr>
            <w:tcW w:type="dxa" w:w="3456"/>
            <w:vAlign w:val="center"/>
          </w:tcPr>
          <w:p>
            <w:pPr>
              <w:spacing w:after="20"/>
            </w:pPr>
            <w:r>
              <w:rPr>
                <w:sz w:val="15"/>
              </w:rPr>
              <w:t>Ransomware/cyber extortion coverage and sublimit</w:t>
            </w:r>
          </w:p>
        </w:tc>
        <w:tc>
          <w:tcPr>
            <w:tcW w:type="dxa" w:w="1440"/>
            <w:vAlign w:val="center"/>
          </w:tcPr>
          <w:p>
            <w:pPr>
              <w:spacing w:after="20"/>
            </w:pPr>
            <w:r>
              <w:rPr>
                <w:sz w:val="15"/>
              </w:rPr>
            </w:r>
          </w:p>
        </w:tc>
        <w:tc>
          <w:tcPr>
            <w:tcW w:type="dxa" w:w="1440"/>
            <w:vAlign w:val="center"/>
          </w:tcPr>
          <w:p>
            <w:pPr>
              <w:spacing w:after="20"/>
            </w:pPr>
            <w:r>
              <w:rPr>
                <w:sz w:val="15"/>
              </w:rPr>
            </w:r>
          </w:p>
        </w:tc>
        <w:tc>
          <w:tcPr>
            <w:tcW w:type="dxa" w:w="1440"/>
            <w:vAlign w:val="center"/>
          </w:tcPr>
          <w:p>
            <w:pPr>
              <w:spacing w:after="20"/>
            </w:pPr>
            <w:r>
              <w:rPr>
                <w:sz w:val="15"/>
              </w:rPr>
            </w:r>
          </w:p>
        </w:tc>
        <w:tc>
          <w:tcPr>
            <w:tcW w:type="dxa" w:w="2160"/>
            <w:vAlign w:val="center"/>
          </w:tcPr>
          <w:p>
            <w:pPr>
              <w:spacing w:after="20"/>
            </w:pPr>
            <w:r>
              <w:rPr>
                <w:sz w:val="15"/>
              </w:rPr>
            </w:r>
          </w:p>
        </w:tc>
      </w:tr>
      <w:tr>
        <w:tc>
          <w:tcPr>
            <w:tcW w:type="dxa" w:w="3456"/>
            <w:vAlign w:val="center"/>
            <w:shd w:fill="EAF2F7"/>
          </w:tcPr>
          <w:p>
            <w:pPr>
              <w:spacing w:after="20"/>
            </w:pPr>
            <w:r>
              <w:rPr>
                <w:sz w:val="15"/>
              </w:rPr>
              <w:t>Social engineering / funds transfer fraud</w:t>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2160"/>
            <w:vAlign w:val="center"/>
            <w:shd w:fill="EAF2F7"/>
          </w:tcPr>
          <w:p>
            <w:pPr>
              <w:spacing w:after="20"/>
            </w:pPr>
            <w:r>
              <w:rPr>
                <w:sz w:val="15"/>
              </w:rPr>
            </w:r>
          </w:p>
        </w:tc>
      </w:tr>
      <w:tr>
        <w:tc>
          <w:tcPr>
            <w:tcW w:type="dxa" w:w="3456"/>
            <w:vAlign w:val="center"/>
          </w:tcPr>
          <w:p>
            <w:pPr>
              <w:spacing w:after="20"/>
            </w:pPr>
            <w:r>
              <w:rPr>
                <w:sz w:val="15"/>
              </w:rPr>
              <w:t>Privacy, regulatory, PCI, and notification costs</w:t>
            </w:r>
          </w:p>
        </w:tc>
        <w:tc>
          <w:tcPr>
            <w:tcW w:type="dxa" w:w="1440"/>
            <w:vAlign w:val="center"/>
          </w:tcPr>
          <w:p>
            <w:pPr>
              <w:spacing w:after="20"/>
            </w:pPr>
            <w:r>
              <w:rPr>
                <w:sz w:val="15"/>
              </w:rPr>
            </w:r>
          </w:p>
        </w:tc>
        <w:tc>
          <w:tcPr>
            <w:tcW w:type="dxa" w:w="1440"/>
            <w:vAlign w:val="center"/>
          </w:tcPr>
          <w:p>
            <w:pPr>
              <w:spacing w:after="20"/>
            </w:pPr>
            <w:r>
              <w:rPr>
                <w:sz w:val="15"/>
              </w:rPr>
            </w:r>
          </w:p>
        </w:tc>
        <w:tc>
          <w:tcPr>
            <w:tcW w:type="dxa" w:w="1440"/>
            <w:vAlign w:val="center"/>
          </w:tcPr>
          <w:p>
            <w:pPr>
              <w:spacing w:after="20"/>
            </w:pPr>
            <w:r>
              <w:rPr>
                <w:sz w:val="15"/>
              </w:rPr>
            </w:r>
          </w:p>
        </w:tc>
        <w:tc>
          <w:tcPr>
            <w:tcW w:type="dxa" w:w="2160"/>
            <w:vAlign w:val="center"/>
          </w:tcPr>
          <w:p>
            <w:pPr>
              <w:spacing w:after="20"/>
            </w:pPr>
            <w:r>
              <w:rPr>
                <w:sz w:val="15"/>
              </w:rPr>
            </w:r>
          </w:p>
        </w:tc>
      </w:tr>
      <w:tr>
        <w:tc>
          <w:tcPr>
            <w:tcW w:type="dxa" w:w="3456"/>
            <w:vAlign w:val="center"/>
            <w:shd w:fill="EAF2F7"/>
          </w:tcPr>
          <w:p>
            <w:pPr>
              <w:spacing w:after="20"/>
            </w:pPr>
            <w:r>
              <w:rPr>
                <w:sz w:val="15"/>
              </w:rPr>
              <w:t>Digital asset restoration and bricking</w:t>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2160"/>
            <w:vAlign w:val="center"/>
            <w:shd w:fill="EAF2F7"/>
          </w:tcPr>
          <w:p>
            <w:pPr>
              <w:spacing w:after="20"/>
            </w:pPr>
            <w:r>
              <w:rPr>
                <w:sz w:val="15"/>
              </w:rPr>
            </w:r>
          </w:p>
        </w:tc>
      </w:tr>
      <w:tr>
        <w:tc>
          <w:tcPr>
            <w:tcW w:type="dxa" w:w="3456"/>
            <w:vAlign w:val="center"/>
          </w:tcPr>
          <w:p>
            <w:pPr>
              <w:spacing w:after="20"/>
            </w:pPr>
            <w:r>
              <w:rPr>
                <w:sz w:val="15"/>
              </w:rPr>
              <w:t>Incident response, panel vendors, and consent requirements</w:t>
            </w:r>
          </w:p>
        </w:tc>
        <w:tc>
          <w:tcPr>
            <w:tcW w:type="dxa" w:w="1440"/>
            <w:vAlign w:val="center"/>
          </w:tcPr>
          <w:p>
            <w:pPr>
              <w:spacing w:after="20"/>
            </w:pPr>
            <w:r>
              <w:rPr>
                <w:sz w:val="15"/>
              </w:rPr>
            </w:r>
          </w:p>
        </w:tc>
        <w:tc>
          <w:tcPr>
            <w:tcW w:type="dxa" w:w="1440"/>
            <w:vAlign w:val="center"/>
          </w:tcPr>
          <w:p>
            <w:pPr>
              <w:spacing w:after="20"/>
            </w:pPr>
            <w:r>
              <w:rPr>
                <w:sz w:val="15"/>
              </w:rPr>
            </w:r>
          </w:p>
        </w:tc>
        <w:tc>
          <w:tcPr>
            <w:tcW w:type="dxa" w:w="1440"/>
            <w:vAlign w:val="center"/>
          </w:tcPr>
          <w:p>
            <w:pPr>
              <w:spacing w:after="20"/>
            </w:pPr>
            <w:r>
              <w:rPr>
                <w:sz w:val="15"/>
              </w:rPr>
            </w:r>
          </w:p>
        </w:tc>
        <w:tc>
          <w:tcPr>
            <w:tcW w:type="dxa" w:w="2160"/>
            <w:vAlign w:val="center"/>
          </w:tcPr>
          <w:p>
            <w:pPr>
              <w:spacing w:after="20"/>
            </w:pPr>
            <w:r>
              <w:rPr>
                <w:sz w:val="15"/>
              </w:rPr>
            </w:r>
          </w:p>
        </w:tc>
      </w:tr>
      <w:tr>
        <w:tc>
          <w:tcPr>
            <w:tcW w:type="dxa" w:w="3456"/>
            <w:vAlign w:val="center"/>
            <w:shd w:fill="EAF2F7"/>
          </w:tcPr>
          <w:p>
            <w:pPr>
              <w:spacing w:after="20"/>
            </w:pPr>
            <w:r>
              <w:rPr>
                <w:sz w:val="15"/>
              </w:rPr>
              <w:t>War, infrastructure, prior acts, and other key exclusions</w:t>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2160"/>
            <w:vAlign w:val="center"/>
            <w:shd w:fill="EAF2F7"/>
          </w:tcPr>
          <w:p>
            <w:pPr>
              <w:spacing w:after="20"/>
            </w:pPr>
            <w:r>
              <w:rPr>
                <w:sz w:val="15"/>
              </w:rPr>
            </w:r>
          </w:p>
        </w:tc>
      </w:tr>
      <w:tr>
        <w:tc>
          <w:tcPr>
            <w:tcW w:type="dxa" w:w="3456"/>
            <w:vAlign w:val="center"/>
          </w:tcPr>
          <w:p>
            <w:pPr>
              <w:spacing w:after="20"/>
            </w:pPr>
            <w:r>
              <w:rPr>
                <w:sz w:val="15"/>
              </w:rPr>
              <w:t>Security-control warranties or conditions precedent</w:t>
            </w:r>
          </w:p>
        </w:tc>
        <w:tc>
          <w:tcPr>
            <w:tcW w:type="dxa" w:w="1440"/>
            <w:vAlign w:val="center"/>
          </w:tcPr>
          <w:p>
            <w:pPr>
              <w:spacing w:after="20"/>
            </w:pPr>
            <w:r>
              <w:rPr>
                <w:sz w:val="15"/>
              </w:rPr>
            </w:r>
          </w:p>
        </w:tc>
        <w:tc>
          <w:tcPr>
            <w:tcW w:type="dxa" w:w="1440"/>
            <w:vAlign w:val="center"/>
          </w:tcPr>
          <w:p>
            <w:pPr>
              <w:spacing w:after="20"/>
            </w:pPr>
            <w:r>
              <w:rPr>
                <w:sz w:val="15"/>
              </w:rPr>
            </w:r>
          </w:p>
        </w:tc>
        <w:tc>
          <w:tcPr>
            <w:tcW w:type="dxa" w:w="1440"/>
            <w:vAlign w:val="center"/>
          </w:tcPr>
          <w:p>
            <w:pPr>
              <w:spacing w:after="20"/>
            </w:pPr>
            <w:r>
              <w:rPr>
                <w:sz w:val="15"/>
              </w:rPr>
            </w:r>
          </w:p>
        </w:tc>
        <w:tc>
          <w:tcPr>
            <w:tcW w:type="dxa" w:w="2160"/>
            <w:vAlign w:val="center"/>
          </w:tcPr>
          <w:p>
            <w:pPr>
              <w:spacing w:after="20"/>
            </w:pPr>
            <w:r>
              <w:rPr>
                <w:sz w:val="15"/>
              </w:rPr>
            </w:r>
          </w:p>
        </w:tc>
      </w:tr>
      <w:tr>
        <w:tc>
          <w:tcPr>
            <w:tcW w:type="dxa" w:w="3456"/>
            <w:vAlign w:val="center"/>
            <w:shd w:fill="EAF2F7"/>
          </w:tcPr>
          <w:p>
            <w:pPr>
              <w:spacing w:after="20"/>
            </w:pPr>
            <w:r>
              <w:rPr>
                <w:sz w:val="15"/>
              </w:rPr>
              <w:t>Territory, jurisdiction, retroactive date, and claims reporting</w:t>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1440"/>
            <w:vAlign w:val="center"/>
            <w:shd w:fill="EAF2F7"/>
          </w:tcPr>
          <w:p>
            <w:pPr>
              <w:spacing w:after="20"/>
            </w:pPr>
            <w:r>
              <w:rPr>
                <w:sz w:val="15"/>
              </w:rPr>
            </w:r>
          </w:p>
        </w:tc>
        <w:tc>
          <w:tcPr>
            <w:tcW w:type="dxa" w:w="2160"/>
            <w:vAlign w:val="center"/>
            <w:shd w:fill="EAF2F7"/>
          </w:tcPr>
          <w:p>
            <w:pPr>
              <w:spacing w:after="20"/>
            </w:pPr>
            <w:r>
              <w:rPr>
                <w:sz w:val="15"/>
              </w:rPr>
            </w:r>
          </w:p>
        </w:tc>
      </w:tr>
    </w:tbl>
    <w:p>
      <w:pPr>
        <w:spacing w:after="0"/>
      </w:pPr>
    </w:p>
    <w:p>
      <w:pPr>
        <w:pStyle w:val="Heading2"/>
      </w:pPr>
      <w:r>
        <w:t>Decision summary</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1584"/>
            <w:shd w:fill="16324F"/>
          </w:tcPr>
          <w:p>
            <w:r>
              <w:rPr>
                <w:b/>
                <w:color w:val="FFFFFF"/>
                <w:sz w:val="16"/>
              </w:rPr>
              <w:t>Selected option</w:t>
            </w:r>
          </w:p>
        </w:tc>
        <w:tc>
          <w:tcPr>
            <w:tcW w:type="dxa" w:w="3600"/>
            <w:shd w:fill="16324F"/>
          </w:tcPr>
          <w:p>
            <w:r>
              <w:rPr>
                <w:b/>
                <w:color w:val="FFFFFF"/>
                <w:sz w:val="16"/>
              </w:rPr>
              <w:t>Decision rationale</w:t>
            </w:r>
          </w:p>
        </w:tc>
        <w:tc>
          <w:tcPr>
            <w:tcW w:type="dxa" w:w="2880"/>
            <w:shd w:fill="16324F"/>
          </w:tcPr>
          <w:p>
            <w:r>
              <w:rPr>
                <w:b/>
                <w:color w:val="FFFFFF"/>
                <w:sz w:val="16"/>
              </w:rPr>
              <w:t>Material tradeoffs</w:t>
            </w:r>
          </w:p>
        </w:tc>
        <w:tc>
          <w:tcPr>
            <w:tcW w:type="dxa" w:w="1872"/>
            <w:shd w:fill="16324F"/>
          </w:tcPr>
          <w:p>
            <w:r>
              <w:rPr>
                <w:b/>
                <w:color w:val="FFFFFF"/>
                <w:sz w:val="16"/>
              </w:rPr>
              <w:t>Approvers / date</w:t>
            </w:r>
          </w:p>
        </w:tc>
      </w:tr>
      <w:tr>
        <w:tc>
          <w:tcPr>
            <w:tcW w:type="dxa" w:w="1584"/>
            <w:vAlign w:val="center"/>
          </w:tcPr>
          <w:p>
            <w:pPr>
              <w:spacing w:after="20"/>
            </w:pPr>
            <w:r>
              <w:rPr>
                <w:sz w:val="15"/>
              </w:rPr>
            </w:r>
          </w:p>
        </w:tc>
        <w:tc>
          <w:tcPr>
            <w:tcW w:type="dxa" w:w="3600"/>
            <w:vAlign w:val="center"/>
          </w:tcPr>
          <w:p>
            <w:pPr>
              <w:spacing w:after="20"/>
            </w:pPr>
            <w:r>
              <w:rPr>
                <w:sz w:val="15"/>
              </w:rPr>
            </w:r>
          </w:p>
        </w:tc>
        <w:tc>
          <w:tcPr>
            <w:tcW w:type="dxa" w:w="2880"/>
            <w:vAlign w:val="center"/>
          </w:tcPr>
          <w:p>
            <w:pPr>
              <w:spacing w:after="20"/>
            </w:pPr>
            <w:r>
              <w:rPr>
                <w:sz w:val="15"/>
              </w:rPr>
            </w:r>
          </w:p>
        </w:tc>
        <w:tc>
          <w:tcPr>
            <w:tcW w:type="dxa" w:w="1872"/>
            <w:vAlign w:val="center"/>
          </w:tcPr>
          <w:p>
            <w:pPr>
              <w:spacing w:after="20"/>
            </w:pPr>
            <w:r>
              <w:rPr>
                <w:sz w:val="15"/>
              </w:rPr>
            </w:r>
          </w:p>
        </w:tc>
      </w:tr>
    </w:tbl>
    <w:p>
      <w:pPr>
        <w:spacing w:after="0"/>
      </w:pPr>
    </w:p>
    <w:p>
      <w:r>
        <w:br w:type="page"/>
      </w:r>
    </w:p>
    <w:p>
      <w:pPr>
        <w:pStyle w:val="Heading1"/>
      </w:pPr>
      <w:r>
        <w:t>8. Incident and claims readiness check</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5040"/>
            <w:shd w:fill="16324F"/>
          </w:tcPr>
          <w:p>
            <w:r>
              <w:rPr>
                <w:b/>
                <w:color w:val="FFFFFF"/>
                <w:sz w:val="16"/>
              </w:rPr>
              <w:t>Readiness item</w:t>
            </w:r>
          </w:p>
        </w:tc>
        <w:tc>
          <w:tcPr>
            <w:tcW w:type="dxa" w:w="1080"/>
            <w:shd w:fill="16324F"/>
          </w:tcPr>
          <w:p>
            <w:r>
              <w:rPr>
                <w:b/>
                <w:color w:val="FFFFFF"/>
                <w:sz w:val="16"/>
              </w:rPr>
              <w:t>Confirmed?</w:t>
            </w:r>
          </w:p>
        </w:tc>
        <w:tc>
          <w:tcPr>
            <w:tcW w:type="dxa" w:w="1440"/>
            <w:shd w:fill="16324F"/>
          </w:tcPr>
          <w:p>
            <w:r>
              <w:rPr>
                <w:b/>
                <w:color w:val="FFFFFF"/>
                <w:sz w:val="16"/>
              </w:rPr>
              <w:t>Owner</w:t>
            </w:r>
          </w:p>
        </w:tc>
        <w:tc>
          <w:tcPr>
            <w:tcW w:type="dxa" w:w="2592"/>
            <w:shd w:fill="16324F"/>
          </w:tcPr>
          <w:p>
            <w:r>
              <w:rPr>
                <w:b/>
                <w:color w:val="FFFFFF"/>
                <w:sz w:val="16"/>
              </w:rPr>
              <w:t>Evidence / location</w:t>
            </w:r>
          </w:p>
        </w:tc>
      </w:tr>
      <w:tr>
        <w:tc>
          <w:tcPr>
            <w:tcW w:type="dxa" w:w="5040"/>
            <w:vAlign w:val="center"/>
          </w:tcPr>
          <w:p>
            <w:pPr>
              <w:spacing w:after="20"/>
            </w:pPr>
            <w:r>
              <w:rPr>
                <w:sz w:val="15"/>
              </w:rPr>
              <w:t>Current policy, endorsements, notices, and claims instructions are accessible during an outage.</w:t>
            </w:r>
          </w:p>
        </w:tc>
        <w:tc>
          <w:tcPr>
            <w:tcW w:type="dxa" w:w="1080"/>
            <w:vAlign w:val="center"/>
          </w:tcPr>
          <w:p>
            <w:pPr>
              <w:spacing w:after="20"/>
            </w:pPr>
            <w:r>
              <w:rPr>
                <w:sz w:val="15"/>
              </w:rPr>
            </w:r>
          </w:p>
        </w:tc>
        <w:tc>
          <w:tcPr>
            <w:tcW w:type="dxa" w:w="1440"/>
            <w:vAlign w:val="center"/>
          </w:tcPr>
          <w:p>
            <w:pPr>
              <w:spacing w:after="20"/>
            </w:pPr>
            <w:r>
              <w:rPr>
                <w:sz w:val="15"/>
              </w:rPr>
            </w:r>
          </w:p>
        </w:tc>
        <w:tc>
          <w:tcPr>
            <w:tcW w:type="dxa" w:w="2592"/>
            <w:vAlign w:val="center"/>
          </w:tcPr>
          <w:p>
            <w:pPr>
              <w:spacing w:after="20"/>
            </w:pPr>
            <w:r>
              <w:rPr>
                <w:sz w:val="15"/>
              </w:rPr>
            </w:r>
          </w:p>
        </w:tc>
      </w:tr>
      <w:tr>
        <w:tc>
          <w:tcPr>
            <w:tcW w:type="dxa" w:w="5040"/>
            <w:vAlign w:val="center"/>
            <w:shd w:fill="EAF2F7"/>
          </w:tcPr>
          <w:p>
            <w:pPr>
              <w:spacing w:after="20"/>
            </w:pPr>
            <w:r>
              <w:rPr>
                <w:sz w:val="15"/>
              </w:rPr>
              <w:t>24/7 carrier, broker, breach counsel, forensics, and executive contacts are validated.</w:t>
            </w:r>
          </w:p>
        </w:tc>
        <w:tc>
          <w:tcPr>
            <w:tcW w:type="dxa" w:w="1080"/>
            <w:vAlign w:val="center"/>
            <w:shd w:fill="EAF2F7"/>
          </w:tcPr>
          <w:p>
            <w:pPr>
              <w:spacing w:after="20"/>
            </w:pPr>
            <w:r>
              <w:rPr>
                <w:sz w:val="15"/>
              </w:rPr>
            </w:r>
          </w:p>
        </w:tc>
        <w:tc>
          <w:tcPr>
            <w:tcW w:type="dxa" w:w="1440"/>
            <w:vAlign w:val="center"/>
            <w:shd w:fill="EAF2F7"/>
          </w:tcPr>
          <w:p>
            <w:pPr>
              <w:spacing w:after="20"/>
            </w:pPr>
            <w:r>
              <w:rPr>
                <w:sz w:val="15"/>
              </w:rPr>
            </w:r>
          </w:p>
        </w:tc>
        <w:tc>
          <w:tcPr>
            <w:tcW w:type="dxa" w:w="2592"/>
            <w:vAlign w:val="center"/>
            <w:shd w:fill="EAF2F7"/>
          </w:tcPr>
          <w:p>
            <w:pPr>
              <w:spacing w:after="20"/>
            </w:pPr>
            <w:r>
              <w:rPr>
                <w:sz w:val="15"/>
              </w:rPr>
            </w:r>
          </w:p>
        </w:tc>
      </w:tr>
      <w:tr>
        <w:tc>
          <w:tcPr>
            <w:tcW w:type="dxa" w:w="5040"/>
            <w:vAlign w:val="center"/>
          </w:tcPr>
          <w:p>
            <w:pPr>
              <w:spacing w:after="20"/>
            </w:pPr>
            <w:r>
              <w:rPr>
                <w:sz w:val="15"/>
              </w:rPr>
              <w:t>Response plan states who may notify the carrier and authorize vendors or expenditures.</w:t>
            </w:r>
          </w:p>
        </w:tc>
        <w:tc>
          <w:tcPr>
            <w:tcW w:type="dxa" w:w="1080"/>
            <w:vAlign w:val="center"/>
          </w:tcPr>
          <w:p>
            <w:pPr>
              <w:spacing w:after="20"/>
            </w:pPr>
            <w:r>
              <w:rPr>
                <w:sz w:val="15"/>
              </w:rPr>
            </w:r>
          </w:p>
        </w:tc>
        <w:tc>
          <w:tcPr>
            <w:tcW w:type="dxa" w:w="1440"/>
            <w:vAlign w:val="center"/>
          </w:tcPr>
          <w:p>
            <w:pPr>
              <w:spacing w:after="20"/>
            </w:pPr>
            <w:r>
              <w:rPr>
                <w:sz w:val="15"/>
              </w:rPr>
            </w:r>
          </w:p>
        </w:tc>
        <w:tc>
          <w:tcPr>
            <w:tcW w:type="dxa" w:w="2592"/>
            <w:vAlign w:val="center"/>
          </w:tcPr>
          <w:p>
            <w:pPr>
              <w:spacing w:after="20"/>
            </w:pPr>
            <w:r>
              <w:rPr>
                <w:sz w:val="15"/>
              </w:rPr>
            </w:r>
          </w:p>
        </w:tc>
      </w:tr>
      <w:tr>
        <w:tc>
          <w:tcPr>
            <w:tcW w:type="dxa" w:w="5040"/>
            <w:vAlign w:val="center"/>
            <w:shd w:fill="EAF2F7"/>
          </w:tcPr>
          <w:p>
            <w:pPr>
              <w:spacing w:after="20"/>
            </w:pPr>
            <w:r>
              <w:rPr>
                <w:sz w:val="15"/>
              </w:rPr>
              <w:t>Team understands consent requirements and avoids engaging non-panel vendors without review.</w:t>
            </w:r>
          </w:p>
        </w:tc>
        <w:tc>
          <w:tcPr>
            <w:tcW w:type="dxa" w:w="1080"/>
            <w:vAlign w:val="center"/>
            <w:shd w:fill="EAF2F7"/>
          </w:tcPr>
          <w:p>
            <w:pPr>
              <w:spacing w:after="20"/>
            </w:pPr>
            <w:r>
              <w:rPr>
                <w:sz w:val="15"/>
              </w:rPr>
            </w:r>
          </w:p>
        </w:tc>
        <w:tc>
          <w:tcPr>
            <w:tcW w:type="dxa" w:w="1440"/>
            <w:vAlign w:val="center"/>
            <w:shd w:fill="EAF2F7"/>
          </w:tcPr>
          <w:p>
            <w:pPr>
              <w:spacing w:after="20"/>
            </w:pPr>
            <w:r>
              <w:rPr>
                <w:sz w:val="15"/>
              </w:rPr>
            </w:r>
          </w:p>
        </w:tc>
        <w:tc>
          <w:tcPr>
            <w:tcW w:type="dxa" w:w="2592"/>
            <w:vAlign w:val="center"/>
            <w:shd w:fill="EAF2F7"/>
          </w:tcPr>
          <w:p>
            <w:pPr>
              <w:spacing w:after="20"/>
            </w:pPr>
            <w:r>
              <w:rPr>
                <w:sz w:val="15"/>
              </w:rPr>
            </w:r>
          </w:p>
        </w:tc>
      </w:tr>
      <w:tr>
        <w:tc>
          <w:tcPr>
            <w:tcW w:type="dxa" w:w="5040"/>
            <w:vAlign w:val="center"/>
          </w:tcPr>
          <w:p>
            <w:pPr>
              <w:spacing w:after="20"/>
            </w:pPr>
            <w:r>
              <w:rPr>
                <w:sz w:val="15"/>
              </w:rPr>
              <w:t>Potential claims and circumstances are escalated promptly without admitting liability.</w:t>
            </w:r>
          </w:p>
        </w:tc>
        <w:tc>
          <w:tcPr>
            <w:tcW w:type="dxa" w:w="1080"/>
            <w:vAlign w:val="center"/>
          </w:tcPr>
          <w:p>
            <w:pPr>
              <w:spacing w:after="20"/>
            </w:pPr>
            <w:r>
              <w:rPr>
                <w:sz w:val="15"/>
              </w:rPr>
            </w:r>
          </w:p>
        </w:tc>
        <w:tc>
          <w:tcPr>
            <w:tcW w:type="dxa" w:w="1440"/>
            <w:vAlign w:val="center"/>
          </w:tcPr>
          <w:p>
            <w:pPr>
              <w:spacing w:after="20"/>
            </w:pPr>
            <w:r>
              <w:rPr>
                <w:sz w:val="15"/>
              </w:rPr>
            </w:r>
          </w:p>
        </w:tc>
        <w:tc>
          <w:tcPr>
            <w:tcW w:type="dxa" w:w="2592"/>
            <w:vAlign w:val="center"/>
          </w:tcPr>
          <w:p>
            <w:pPr>
              <w:spacing w:after="20"/>
            </w:pPr>
            <w:r>
              <w:rPr>
                <w:sz w:val="15"/>
              </w:rPr>
            </w:r>
          </w:p>
        </w:tc>
      </w:tr>
      <w:tr>
        <w:tc>
          <w:tcPr>
            <w:tcW w:type="dxa" w:w="5040"/>
            <w:vAlign w:val="center"/>
            <w:shd w:fill="EAF2F7"/>
          </w:tcPr>
          <w:p>
            <w:pPr>
              <w:spacing w:after="20"/>
            </w:pPr>
            <w:r>
              <w:rPr>
                <w:sz w:val="15"/>
              </w:rPr>
              <w:t>Evidence preservation, privilege, law enforcement, and regulatory decisions have owners.</w:t>
            </w:r>
          </w:p>
        </w:tc>
        <w:tc>
          <w:tcPr>
            <w:tcW w:type="dxa" w:w="1080"/>
            <w:vAlign w:val="center"/>
            <w:shd w:fill="EAF2F7"/>
          </w:tcPr>
          <w:p>
            <w:pPr>
              <w:spacing w:after="20"/>
            </w:pPr>
            <w:r>
              <w:rPr>
                <w:sz w:val="15"/>
              </w:rPr>
            </w:r>
          </w:p>
        </w:tc>
        <w:tc>
          <w:tcPr>
            <w:tcW w:type="dxa" w:w="1440"/>
            <w:vAlign w:val="center"/>
            <w:shd w:fill="EAF2F7"/>
          </w:tcPr>
          <w:p>
            <w:pPr>
              <w:spacing w:after="20"/>
            </w:pPr>
            <w:r>
              <w:rPr>
                <w:sz w:val="15"/>
              </w:rPr>
            </w:r>
          </w:p>
        </w:tc>
        <w:tc>
          <w:tcPr>
            <w:tcW w:type="dxa" w:w="2592"/>
            <w:vAlign w:val="center"/>
            <w:shd w:fill="EAF2F7"/>
          </w:tcPr>
          <w:p>
            <w:pPr>
              <w:spacing w:after="20"/>
            </w:pPr>
            <w:r>
              <w:rPr>
                <w:sz w:val="15"/>
              </w:rPr>
            </w:r>
          </w:p>
        </w:tc>
      </w:tr>
      <w:tr>
        <w:tc>
          <w:tcPr>
            <w:tcW w:type="dxa" w:w="5040"/>
            <w:vAlign w:val="center"/>
          </w:tcPr>
          <w:p>
            <w:pPr>
              <w:spacing w:after="20"/>
            </w:pPr>
            <w:r>
              <w:rPr>
                <w:sz w:val="15"/>
              </w:rPr>
              <w:t>Business interruption documentation can capture timeline, decisions, losses, and extra expense.</w:t>
            </w:r>
          </w:p>
        </w:tc>
        <w:tc>
          <w:tcPr>
            <w:tcW w:type="dxa" w:w="1080"/>
            <w:vAlign w:val="center"/>
          </w:tcPr>
          <w:p>
            <w:pPr>
              <w:spacing w:after="20"/>
            </w:pPr>
            <w:r>
              <w:rPr>
                <w:sz w:val="15"/>
              </w:rPr>
            </w:r>
          </w:p>
        </w:tc>
        <w:tc>
          <w:tcPr>
            <w:tcW w:type="dxa" w:w="1440"/>
            <w:vAlign w:val="center"/>
          </w:tcPr>
          <w:p>
            <w:pPr>
              <w:spacing w:after="20"/>
            </w:pPr>
            <w:r>
              <w:rPr>
                <w:sz w:val="15"/>
              </w:rPr>
            </w:r>
          </w:p>
        </w:tc>
        <w:tc>
          <w:tcPr>
            <w:tcW w:type="dxa" w:w="2592"/>
            <w:vAlign w:val="center"/>
          </w:tcPr>
          <w:p>
            <w:pPr>
              <w:spacing w:after="20"/>
            </w:pPr>
            <w:r>
              <w:rPr>
                <w:sz w:val="15"/>
              </w:rPr>
            </w:r>
          </w:p>
        </w:tc>
      </w:tr>
      <w:tr>
        <w:tc>
          <w:tcPr>
            <w:tcW w:type="dxa" w:w="5040"/>
            <w:vAlign w:val="center"/>
            <w:shd w:fill="EAF2F7"/>
          </w:tcPr>
          <w:p>
            <w:pPr>
              <w:spacing w:after="20"/>
            </w:pPr>
            <w:r>
              <w:rPr>
                <w:sz w:val="15"/>
              </w:rPr>
              <w:t>Tabletop exercise includes policy notification and coverage-decision injects.</w:t>
            </w:r>
          </w:p>
        </w:tc>
        <w:tc>
          <w:tcPr>
            <w:tcW w:type="dxa" w:w="1080"/>
            <w:vAlign w:val="center"/>
            <w:shd w:fill="EAF2F7"/>
          </w:tcPr>
          <w:p>
            <w:pPr>
              <w:spacing w:after="20"/>
            </w:pPr>
            <w:r>
              <w:rPr>
                <w:sz w:val="15"/>
              </w:rPr>
            </w:r>
          </w:p>
        </w:tc>
        <w:tc>
          <w:tcPr>
            <w:tcW w:type="dxa" w:w="1440"/>
            <w:vAlign w:val="center"/>
            <w:shd w:fill="EAF2F7"/>
          </w:tcPr>
          <w:p>
            <w:pPr>
              <w:spacing w:after="20"/>
            </w:pPr>
            <w:r>
              <w:rPr>
                <w:sz w:val="15"/>
              </w:rPr>
            </w:r>
          </w:p>
        </w:tc>
        <w:tc>
          <w:tcPr>
            <w:tcW w:type="dxa" w:w="2592"/>
            <w:vAlign w:val="center"/>
            <w:shd w:fill="EAF2F7"/>
          </w:tcPr>
          <w:p>
            <w:pPr>
              <w:spacing w:after="20"/>
            </w:pPr>
            <w:r>
              <w:rPr>
                <w:sz w:val="15"/>
              </w:rPr>
            </w:r>
          </w:p>
        </w:tc>
      </w:tr>
    </w:tbl>
    <w:p>
      <w:pPr>
        <w:spacing w:after="0"/>
      </w:pPr>
    </w:p>
    <w:p>
      <w:pPr>
        <w:pStyle w:val="Heading2"/>
      </w:pPr>
      <w:r>
        <w:t>First-hour claim record</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3888"/>
            <w:shd w:fill="16324F"/>
          </w:tcPr>
          <w:p>
            <w:r>
              <w:rPr>
                <w:b/>
                <w:color w:val="FFFFFF"/>
                <w:sz w:val="16"/>
              </w:rPr>
              <w:t>Field</w:t>
            </w:r>
          </w:p>
        </w:tc>
        <w:tc>
          <w:tcPr>
            <w:tcW w:type="dxa" w:w="6192"/>
            <w:shd w:fill="16324F"/>
          </w:tcPr>
          <w:p>
            <w:r>
              <w:rPr>
                <w:b/>
                <w:color w:val="FFFFFF"/>
                <w:sz w:val="16"/>
              </w:rPr>
              <w:t>Record</w:t>
            </w:r>
          </w:p>
        </w:tc>
      </w:tr>
      <w:tr>
        <w:tc>
          <w:tcPr>
            <w:tcW w:type="dxa" w:w="3888"/>
            <w:vAlign w:val="center"/>
          </w:tcPr>
          <w:p>
            <w:pPr>
              <w:spacing w:after="20"/>
            </w:pPr>
            <w:r>
              <w:rPr>
                <w:sz w:val="15"/>
              </w:rPr>
              <w:t>Event discovered (date/time/time zone)</w:t>
            </w:r>
          </w:p>
        </w:tc>
        <w:tc>
          <w:tcPr>
            <w:tcW w:type="dxa" w:w="6192"/>
            <w:vAlign w:val="center"/>
          </w:tcPr>
          <w:p>
            <w:pPr>
              <w:spacing w:after="20"/>
            </w:pPr>
            <w:r>
              <w:rPr>
                <w:sz w:val="15"/>
              </w:rPr>
            </w:r>
          </w:p>
        </w:tc>
      </w:tr>
      <w:tr>
        <w:tc>
          <w:tcPr>
            <w:tcW w:type="dxa" w:w="3888"/>
            <w:vAlign w:val="center"/>
            <w:shd w:fill="EAF2F7"/>
          </w:tcPr>
          <w:p>
            <w:pPr>
              <w:spacing w:after="20"/>
            </w:pPr>
            <w:r>
              <w:rPr>
                <w:sz w:val="15"/>
              </w:rPr>
              <w:t>Reporter and incident lead</w:t>
            </w:r>
          </w:p>
        </w:tc>
        <w:tc>
          <w:tcPr>
            <w:tcW w:type="dxa" w:w="6192"/>
            <w:vAlign w:val="center"/>
            <w:shd w:fill="EAF2F7"/>
          </w:tcPr>
          <w:p>
            <w:pPr>
              <w:spacing w:after="20"/>
            </w:pPr>
            <w:r>
              <w:rPr>
                <w:sz w:val="15"/>
              </w:rPr>
            </w:r>
          </w:p>
        </w:tc>
      </w:tr>
      <w:tr>
        <w:tc>
          <w:tcPr>
            <w:tcW w:type="dxa" w:w="3888"/>
            <w:vAlign w:val="center"/>
          </w:tcPr>
          <w:p>
            <w:pPr>
              <w:spacing w:after="20"/>
            </w:pPr>
            <w:r>
              <w:rPr>
                <w:sz w:val="15"/>
              </w:rPr>
              <w:t>Systems/entities affected or suspected</w:t>
            </w:r>
          </w:p>
        </w:tc>
        <w:tc>
          <w:tcPr>
            <w:tcW w:type="dxa" w:w="6192"/>
            <w:vAlign w:val="center"/>
          </w:tcPr>
          <w:p>
            <w:pPr>
              <w:spacing w:after="20"/>
            </w:pPr>
            <w:r>
              <w:rPr>
                <w:sz w:val="15"/>
              </w:rPr>
            </w:r>
          </w:p>
        </w:tc>
      </w:tr>
      <w:tr>
        <w:tc>
          <w:tcPr>
            <w:tcW w:type="dxa" w:w="3888"/>
            <w:vAlign w:val="center"/>
            <w:shd w:fill="EAF2F7"/>
          </w:tcPr>
          <w:p>
            <w:pPr>
              <w:spacing w:after="20"/>
            </w:pPr>
            <w:r>
              <w:rPr>
                <w:sz w:val="15"/>
              </w:rPr>
              <w:t>Carrier/broker notification time and method</w:t>
            </w:r>
          </w:p>
        </w:tc>
        <w:tc>
          <w:tcPr>
            <w:tcW w:type="dxa" w:w="6192"/>
            <w:vAlign w:val="center"/>
            <w:shd w:fill="EAF2F7"/>
          </w:tcPr>
          <w:p>
            <w:pPr>
              <w:spacing w:after="20"/>
            </w:pPr>
            <w:r>
              <w:rPr>
                <w:sz w:val="15"/>
              </w:rPr>
            </w:r>
          </w:p>
        </w:tc>
      </w:tr>
      <w:tr>
        <w:tc>
          <w:tcPr>
            <w:tcW w:type="dxa" w:w="3888"/>
            <w:vAlign w:val="center"/>
          </w:tcPr>
          <w:p>
            <w:pPr>
              <w:spacing w:after="20"/>
            </w:pPr>
            <w:r>
              <w:rPr>
                <w:sz w:val="15"/>
              </w:rPr>
              <w:t>Claim/reference number and contact</w:t>
            </w:r>
          </w:p>
        </w:tc>
        <w:tc>
          <w:tcPr>
            <w:tcW w:type="dxa" w:w="6192"/>
            <w:vAlign w:val="center"/>
          </w:tcPr>
          <w:p>
            <w:pPr>
              <w:spacing w:after="20"/>
            </w:pPr>
            <w:r>
              <w:rPr>
                <w:sz w:val="15"/>
              </w:rPr>
            </w:r>
          </w:p>
        </w:tc>
      </w:tr>
      <w:tr>
        <w:tc>
          <w:tcPr>
            <w:tcW w:type="dxa" w:w="3888"/>
            <w:vAlign w:val="center"/>
            <w:shd w:fill="EAF2F7"/>
          </w:tcPr>
          <w:p>
            <w:pPr>
              <w:spacing w:after="20"/>
            </w:pPr>
            <w:r>
              <w:rPr>
                <w:sz w:val="15"/>
              </w:rPr>
              <w:t>Consent obtained / limitations communicated</w:t>
            </w:r>
          </w:p>
        </w:tc>
        <w:tc>
          <w:tcPr>
            <w:tcW w:type="dxa" w:w="6192"/>
            <w:vAlign w:val="center"/>
            <w:shd w:fill="EAF2F7"/>
          </w:tcPr>
          <w:p>
            <w:pPr>
              <w:spacing w:after="20"/>
            </w:pPr>
            <w:r>
              <w:rPr>
                <w:sz w:val="15"/>
              </w:rPr>
            </w:r>
          </w:p>
        </w:tc>
      </w:tr>
      <w:tr>
        <w:tc>
          <w:tcPr>
            <w:tcW w:type="dxa" w:w="3888"/>
            <w:vAlign w:val="center"/>
          </w:tcPr>
          <w:p>
            <w:pPr>
              <w:spacing w:after="20"/>
            </w:pPr>
            <w:r>
              <w:rPr>
                <w:sz w:val="15"/>
              </w:rPr>
              <w:t>Preservation and documentation actions</w:t>
            </w:r>
          </w:p>
        </w:tc>
        <w:tc>
          <w:tcPr>
            <w:tcW w:type="dxa" w:w="6192"/>
            <w:vAlign w:val="center"/>
          </w:tcPr>
          <w:p>
            <w:pPr>
              <w:spacing w:after="20"/>
            </w:pPr>
            <w:r>
              <w:rPr>
                <w:sz w:val="15"/>
              </w:rPr>
            </w:r>
          </w:p>
        </w:tc>
      </w:tr>
    </w:tbl>
    <w:p>
      <w:pPr>
        <w:spacing w:after="0"/>
      </w:pPr>
    </w:p>
    <w:p>
      <w:r>
        <w:br w:type="page"/>
      </w:r>
    </w:p>
    <w:p>
      <w:pPr>
        <w:pStyle w:val="Heading1"/>
      </w:pPr>
      <w:r>
        <w:t>9. Executive attestation and record retention</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5472"/>
            <w:shd w:fill="16324F"/>
          </w:tcPr>
          <w:p>
            <w:r>
              <w:rPr>
                <w:b/>
                <w:color w:val="FFFFFF"/>
                <w:sz w:val="16"/>
              </w:rPr>
              <w:t>Final gate</w:t>
            </w:r>
          </w:p>
        </w:tc>
        <w:tc>
          <w:tcPr>
            <w:tcW w:type="dxa" w:w="1152"/>
            <w:shd w:fill="16324F"/>
          </w:tcPr>
          <w:p>
            <w:r>
              <w:rPr>
                <w:b/>
                <w:color w:val="FFFFFF"/>
                <w:sz w:val="16"/>
              </w:rPr>
              <w:t>Complete?</w:t>
            </w:r>
          </w:p>
        </w:tc>
        <w:tc>
          <w:tcPr>
            <w:tcW w:type="dxa" w:w="3456"/>
            <w:shd w:fill="16324F"/>
          </w:tcPr>
          <w:p>
            <w:r>
              <w:rPr>
                <w:b/>
                <w:color w:val="FFFFFF"/>
                <w:sz w:val="16"/>
              </w:rPr>
              <w:t>Evidence / comment</w:t>
            </w:r>
          </w:p>
        </w:tc>
      </w:tr>
      <w:tr>
        <w:tc>
          <w:tcPr>
            <w:tcW w:type="dxa" w:w="5472"/>
            <w:vAlign w:val="center"/>
          </w:tcPr>
          <w:p>
            <w:pPr>
              <w:spacing w:after="20"/>
            </w:pPr>
            <w:r>
              <w:rPr>
                <w:sz w:val="15"/>
              </w:rPr>
              <w:t>All application answers have named owners and current evidence.</w:t>
            </w:r>
          </w:p>
        </w:tc>
        <w:tc>
          <w:tcPr>
            <w:tcW w:type="dxa" w:w="1152"/>
            <w:vAlign w:val="center"/>
          </w:tcPr>
          <w:p>
            <w:pPr>
              <w:spacing w:after="20"/>
            </w:pPr>
            <w:r>
              <w:rPr>
                <w:sz w:val="15"/>
              </w:rPr>
            </w:r>
          </w:p>
        </w:tc>
        <w:tc>
          <w:tcPr>
            <w:tcW w:type="dxa" w:w="3456"/>
            <w:vAlign w:val="center"/>
          </w:tcPr>
          <w:p>
            <w:pPr>
              <w:spacing w:after="20"/>
            </w:pPr>
            <w:r>
              <w:rPr>
                <w:sz w:val="15"/>
              </w:rPr>
            </w:r>
          </w:p>
        </w:tc>
      </w:tr>
      <w:tr>
        <w:tc>
          <w:tcPr>
            <w:tcW w:type="dxa" w:w="5472"/>
            <w:vAlign w:val="center"/>
            <w:shd w:fill="EAF2F7"/>
          </w:tcPr>
          <w:p>
            <w:pPr>
              <w:spacing w:after="20"/>
            </w:pPr>
            <w:r>
              <w:rPr>
                <w:sz w:val="15"/>
              </w:rPr>
              <w:t>Material exceptions and known circumstances were escalated appropriately.</w:t>
            </w:r>
          </w:p>
        </w:tc>
        <w:tc>
          <w:tcPr>
            <w:tcW w:type="dxa" w:w="1152"/>
            <w:vAlign w:val="center"/>
            <w:shd w:fill="EAF2F7"/>
          </w:tcPr>
          <w:p>
            <w:pPr>
              <w:spacing w:after="20"/>
            </w:pPr>
            <w:r>
              <w:rPr>
                <w:sz w:val="15"/>
              </w:rPr>
            </w:r>
          </w:p>
        </w:tc>
        <w:tc>
          <w:tcPr>
            <w:tcW w:type="dxa" w:w="3456"/>
            <w:vAlign w:val="center"/>
            <w:shd w:fill="EAF2F7"/>
          </w:tcPr>
          <w:p>
            <w:pPr>
              <w:spacing w:after="20"/>
            </w:pPr>
            <w:r>
              <w:rPr>
                <w:sz w:val="15"/>
              </w:rPr>
            </w:r>
          </w:p>
        </w:tc>
      </w:tr>
      <w:tr>
        <w:tc>
          <w:tcPr>
            <w:tcW w:type="dxa" w:w="5472"/>
            <w:vAlign w:val="center"/>
          </w:tcPr>
          <w:p>
            <w:pPr>
              <w:spacing w:after="20"/>
            </w:pPr>
            <w:r>
              <w:rPr>
                <w:sz w:val="15"/>
              </w:rPr>
              <w:t>Legal and broker reviews are complete.</w:t>
            </w:r>
          </w:p>
        </w:tc>
        <w:tc>
          <w:tcPr>
            <w:tcW w:type="dxa" w:w="1152"/>
            <w:vAlign w:val="center"/>
          </w:tcPr>
          <w:p>
            <w:pPr>
              <w:spacing w:after="20"/>
            </w:pPr>
            <w:r>
              <w:rPr>
                <w:sz w:val="15"/>
              </w:rPr>
            </w:r>
          </w:p>
        </w:tc>
        <w:tc>
          <w:tcPr>
            <w:tcW w:type="dxa" w:w="3456"/>
            <w:vAlign w:val="center"/>
          </w:tcPr>
          <w:p>
            <w:pPr>
              <w:spacing w:after="20"/>
            </w:pPr>
            <w:r>
              <w:rPr>
                <w:sz w:val="15"/>
              </w:rPr>
            </w:r>
          </w:p>
        </w:tc>
      </w:tr>
      <w:tr>
        <w:tc>
          <w:tcPr>
            <w:tcW w:type="dxa" w:w="5472"/>
            <w:vAlign w:val="center"/>
            <w:shd w:fill="EAF2F7"/>
          </w:tcPr>
          <w:p>
            <w:pPr>
              <w:spacing w:after="20"/>
            </w:pPr>
            <w:r>
              <w:rPr>
                <w:sz w:val="15"/>
              </w:rPr>
              <w:t>Quote comparison includes key exclusions, conditions, and sublimits.</w:t>
            </w:r>
          </w:p>
        </w:tc>
        <w:tc>
          <w:tcPr>
            <w:tcW w:type="dxa" w:w="1152"/>
            <w:vAlign w:val="center"/>
            <w:shd w:fill="EAF2F7"/>
          </w:tcPr>
          <w:p>
            <w:pPr>
              <w:spacing w:after="20"/>
            </w:pPr>
            <w:r>
              <w:rPr>
                <w:sz w:val="15"/>
              </w:rPr>
            </w:r>
          </w:p>
        </w:tc>
        <w:tc>
          <w:tcPr>
            <w:tcW w:type="dxa" w:w="3456"/>
            <w:vAlign w:val="center"/>
            <w:shd w:fill="EAF2F7"/>
          </w:tcPr>
          <w:p>
            <w:pPr>
              <w:spacing w:after="20"/>
            </w:pPr>
            <w:r>
              <w:rPr>
                <w:sz w:val="15"/>
              </w:rPr>
            </w:r>
          </w:p>
        </w:tc>
      </w:tr>
      <w:tr>
        <w:tc>
          <w:tcPr>
            <w:tcW w:type="dxa" w:w="5472"/>
            <w:vAlign w:val="center"/>
          </w:tcPr>
          <w:p>
            <w:pPr>
              <w:spacing w:after="20"/>
            </w:pPr>
            <w:r>
              <w:rPr>
                <w:sz w:val="15"/>
              </w:rPr>
              <w:t>Executive sponsor approved the selected coverage and residual risks.</w:t>
            </w:r>
          </w:p>
        </w:tc>
        <w:tc>
          <w:tcPr>
            <w:tcW w:type="dxa" w:w="1152"/>
            <w:vAlign w:val="center"/>
          </w:tcPr>
          <w:p>
            <w:pPr>
              <w:spacing w:after="20"/>
            </w:pPr>
            <w:r>
              <w:rPr>
                <w:sz w:val="15"/>
              </w:rPr>
            </w:r>
          </w:p>
        </w:tc>
        <w:tc>
          <w:tcPr>
            <w:tcW w:type="dxa" w:w="3456"/>
            <w:vAlign w:val="center"/>
          </w:tcPr>
          <w:p>
            <w:pPr>
              <w:spacing w:after="20"/>
            </w:pPr>
            <w:r>
              <w:rPr>
                <w:sz w:val="15"/>
              </w:rPr>
            </w:r>
          </w:p>
        </w:tc>
      </w:tr>
      <w:tr>
        <w:tc>
          <w:tcPr>
            <w:tcW w:type="dxa" w:w="5472"/>
            <w:vAlign w:val="center"/>
            <w:shd w:fill="EAF2F7"/>
          </w:tcPr>
          <w:p>
            <w:pPr>
              <w:spacing w:after="20"/>
            </w:pPr>
            <w:r>
              <w:rPr>
                <w:sz w:val="15"/>
              </w:rPr>
              <w:t>Bound policy matches the approved option; discrepancies were resolved.</w:t>
            </w:r>
          </w:p>
        </w:tc>
        <w:tc>
          <w:tcPr>
            <w:tcW w:type="dxa" w:w="1152"/>
            <w:vAlign w:val="center"/>
            <w:shd w:fill="EAF2F7"/>
          </w:tcPr>
          <w:p>
            <w:pPr>
              <w:spacing w:after="20"/>
            </w:pPr>
            <w:r>
              <w:rPr>
                <w:sz w:val="15"/>
              </w:rPr>
            </w:r>
          </w:p>
        </w:tc>
        <w:tc>
          <w:tcPr>
            <w:tcW w:type="dxa" w:w="3456"/>
            <w:vAlign w:val="center"/>
            <w:shd w:fill="EAF2F7"/>
          </w:tcPr>
          <w:p>
            <w:pPr>
              <w:spacing w:after="20"/>
            </w:pPr>
            <w:r>
              <w:rPr>
                <w:sz w:val="15"/>
              </w:rPr>
            </w:r>
          </w:p>
        </w:tc>
      </w:tr>
      <w:tr>
        <w:tc>
          <w:tcPr>
            <w:tcW w:type="dxa" w:w="5472"/>
            <w:vAlign w:val="center"/>
          </w:tcPr>
          <w:p>
            <w:pPr>
              <w:spacing w:after="20"/>
            </w:pPr>
            <w:r>
              <w:rPr>
                <w:sz w:val="15"/>
              </w:rPr>
              <w:t>Final submission, approvals, correspondence, quotes, and bound policy are retained.</w:t>
            </w:r>
          </w:p>
        </w:tc>
        <w:tc>
          <w:tcPr>
            <w:tcW w:type="dxa" w:w="1152"/>
            <w:vAlign w:val="center"/>
          </w:tcPr>
          <w:p>
            <w:pPr>
              <w:spacing w:after="20"/>
            </w:pPr>
            <w:r>
              <w:rPr>
                <w:sz w:val="15"/>
              </w:rPr>
            </w:r>
          </w:p>
        </w:tc>
        <w:tc>
          <w:tcPr>
            <w:tcW w:type="dxa" w:w="3456"/>
            <w:vAlign w:val="center"/>
          </w:tcPr>
          <w:p>
            <w:pPr>
              <w:spacing w:after="20"/>
            </w:pPr>
            <w:r>
              <w:rPr>
                <w:sz w:val="15"/>
              </w:rPr>
            </w:r>
          </w:p>
        </w:tc>
      </w:tr>
      <w:tr>
        <w:tc>
          <w:tcPr>
            <w:tcW w:type="dxa" w:w="5472"/>
            <w:vAlign w:val="center"/>
            <w:shd w:fill="EAF2F7"/>
          </w:tcPr>
          <w:p>
            <w:pPr>
              <w:spacing w:after="20"/>
            </w:pPr>
            <w:r>
              <w:rPr>
                <w:sz w:val="15"/>
              </w:rPr>
              <w:t>Incident response contacts and playbooks reflect the new policy.</w:t>
            </w:r>
          </w:p>
        </w:tc>
        <w:tc>
          <w:tcPr>
            <w:tcW w:type="dxa" w:w="1152"/>
            <w:vAlign w:val="center"/>
            <w:shd w:fill="EAF2F7"/>
          </w:tcPr>
          <w:p>
            <w:pPr>
              <w:spacing w:after="20"/>
            </w:pPr>
            <w:r>
              <w:rPr>
                <w:sz w:val="15"/>
              </w:rPr>
            </w:r>
          </w:p>
        </w:tc>
        <w:tc>
          <w:tcPr>
            <w:tcW w:type="dxa" w:w="3456"/>
            <w:vAlign w:val="center"/>
            <w:shd w:fill="EAF2F7"/>
          </w:tcPr>
          <w:p>
            <w:pPr>
              <w:spacing w:after="20"/>
            </w:pPr>
            <w:r>
              <w:rPr>
                <w:sz w:val="15"/>
              </w:rPr>
            </w:r>
          </w:p>
        </w:tc>
      </w:tr>
    </w:tbl>
    <w:p>
      <w:pPr>
        <w:spacing w:after="0"/>
      </w:pPr>
    </w:p>
    <w:p>
      <w:pPr>
        <w:pStyle w:val="Heading2"/>
      </w:pPr>
      <w:r>
        <w:t>Approval</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2304"/>
            <w:shd w:fill="16324F"/>
          </w:tcPr>
          <w:p>
            <w:r>
              <w:rPr>
                <w:b/>
                <w:color w:val="FFFFFF"/>
                <w:sz w:val="16"/>
              </w:rPr>
              <w:t>Role</w:t>
            </w:r>
          </w:p>
        </w:tc>
        <w:tc>
          <w:tcPr>
            <w:tcW w:type="dxa" w:w="2304"/>
            <w:shd w:fill="16324F"/>
          </w:tcPr>
          <w:p>
            <w:r>
              <w:rPr>
                <w:b/>
                <w:color w:val="FFFFFF"/>
                <w:sz w:val="16"/>
              </w:rPr>
              <w:t>Name</w:t>
            </w:r>
          </w:p>
        </w:tc>
        <w:tc>
          <w:tcPr>
            <w:tcW w:type="dxa" w:w="2880"/>
            <w:shd w:fill="16324F"/>
          </w:tcPr>
          <w:p>
            <w:r>
              <w:rPr>
                <w:b/>
                <w:color w:val="FFFFFF"/>
                <w:sz w:val="16"/>
              </w:rPr>
              <w:t>Decision</w:t>
            </w:r>
          </w:p>
        </w:tc>
        <w:tc>
          <w:tcPr>
            <w:tcW w:type="dxa" w:w="2592"/>
            <w:shd w:fill="16324F"/>
          </w:tcPr>
          <w:p>
            <w:r>
              <w:rPr>
                <w:b/>
                <w:color w:val="FFFFFF"/>
                <w:sz w:val="16"/>
              </w:rPr>
              <w:t>Signature / date</w:t>
            </w:r>
          </w:p>
        </w:tc>
      </w:tr>
      <w:tr>
        <w:tc>
          <w:tcPr>
            <w:tcW w:type="dxa" w:w="2304"/>
            <w:vAlign w:val="center"/>
          </w:tcPr>
          <w:p>
            <w:pPr>
              <w:spacing w:after="20"/>
            </w:pPr>
            <w:r>
              <w:rPr>
                <w:sz w:val="15"/>
              </w:rPr>
              <w:t>Executive sponsor</w:t>
            </w:r>
          </w:p>
        </w:tc>
        <w:tc>
          <w:tcPr>
            <w:tcW w:type="dxa" w:w="2304"/>
            <w:vAlign w:val="center"/>
          </w:tcPr>
          <w:p>
            <w:pPr>
              <w:spacing w:after="20"/>
            </w:pPr>
            <w:r>
              <w:rPr>
                <w:sz w:val="15"/>
              </w:rPr>
            </w:r>
          </w:p>
        </w:tc>
        <w:tc>
          <w:tcPr>
            <w:tcW w:type="dxa" w:w="2880"/>
            <w:vAlign w:val="center"/>
          </w:tcPr>
          <w:p>
            <w:pPr>
              <w:spacing w:after="20"/>
            </w:pPr>
            <w:r>
              <w:rPr>
                <w:sz w:val="15"/>
              </w:rPr>
              <w:t>Approve / reject</w:t>
            </w:r>
          </w:p>
        </w:tc>
        <w:tc>
          <w:tcPr>
            <w:tcW w:type="dxa" w:w="2592"/>
            <w:vAlign w:val="center"/>
          </w:tcPr>
          <w:p>
            <w:pPr>
              <w:spacing w:after="20"/>
            </w:pPr>
            <w:r>
              <w:rPr>
                <w:sz w:val="15"/>
              </w:rPr>
            </w:r>
          </w:p>
        </w:tc>
      </w:tr>
      <w:tr>
        <w:tc>
          <w:tcPr>
            <w:tcW w:type="dxa" w:w="2304"/>
            <w:vAlign w:val="center"/>
            <w:shd w:fill="EAF2F7"/>
          </w:tcPr>
          <w:p>
            <w:pPr>
              <w:spacing w:after="20"/>
            </w:pPr>
            <w:r>
              <w:rPr>
                <w:sz w:val="15"/>
              </w:rPr>
              <w:t>Security lead</w:t>
            </w:r>
          </w:p>
        </w:tc>
        <w:tc>
          <w:tcPr>
            <w:tcW w:type="dxa" w:w="2304"/>
            <w:vAlign w:val="center"/>
            <w:shd w:fill="EAF2F7"/>
          </w:tcPr>
          <w:p>
            <w:pPr>
              <w:spacing w:after="20"/>
            </w:pPr>
            <w:r>
              <w:rPr>
                <w:sz w:val="15"/>
              </w:rPr>
            </w:r>
          </w:p>
        </w:tc>
        <w:tc>
          <w:tcPr>
            <w:tcW w:type="dxa" w:w="2880"/>
            <w:vAlign w:val="center"/>
            <w:shd w:fill="EAF2F7"/>
          </w:tcPr>
          <w:p>
            <w:pPr>
              <w:spacing w:after="20"/>
            </w:pPr>
            <w:r>
              <w:rPr>
                <w:sz w:val="15"/>
              </w:rPr>
              <w:t>Recommend / do not recommend</w:t>
            </w:r>
          </w:p>
        </w:tc>
        <w:tc>
          <w:tcPr>
            <w:tcW w:type="dxa" w:w="2592"/>
            <w:vAlign w:val="center"/>
            <w:shd w:fill="EAF2F7"/>
          </w:tcPr>
          <w:p>
            <w:pPr>
              <w:spacing w:after="20"/>
            </w:pPr>
            <w:r>
              <w:rPr>
                <w:sz w:val="15"/>
              </w:rPr>
            </w:r>
          </w:p>
        </w:tc>
      </w:tr>
      <w:tr>
        <w:tc>
          <w:tcPr>
            <w:tcW w:type="dxa" w:w="2304"/>
            <w:vAlign w:val="center"/>
          </w:tcPr>
          <w:p>
            <w:pPr>
              <w:spacing w:after="20"/>
            </w:pPr>
            <w:r>
              <w:rPr>
                <w:sz w:val="15"/>
              </w:rPr>
              <w:t>Legal reviewer</w:t>
            </w:r>
          </w:p>
        </w:tc>
        <w:tc>
          <w:tcPr>
            <w:tcW w:type="dxa" w:w="2304"/>
            <w:vAlign w:val="center"/>
          </w:tcPr>
          <w:p>
            <w:pPr>
              <w:spacing w:after="20"/>
            </w:pPr>
            <w:r>
              <w:rPr>
                <w:sz w:val="15"/>
              </w:rPr>
            </w:r>
          </w:p>
        </w:tc>
        <w:tc>
          <w:tcPr>
            <w:tcW w:type="dxa" w:w="2880"/>
            <w:vAlign w:val="center"/>
          </w:tcPr>
          <w:p>
            <w:pPr>
              <w:spacing w:after="20"/>
            </w:pPr>
            <w:r>
              <w:rPr>
                <w:sz w:val="15"/>
              </w:rPr>
              <w:t>Reviewed</w:t>
            </w:r>
          </w:p>
        </w:tc>
        <w:tc>
          <w:tcPr>
            <w:tcW w:type="dxa" w:w="2592"/>
            <w:vAlign w:val="center"/>
          </w:tcPr>
          <w:p>
            <w:pPr>
              <w:spacing w:after="20"/>
            </w:pPr>
            <w:r>
              <w:rPr>
                <w:sz w:val="15"/>
              </w:rPr>
            </w:r>
          </w:p>
        </w:tc>
      </w:tr>
      <w:tr>
        <w:tc>
          <w:tcPr>
            <w:tcW w:type="dxa" w:w="2304"/>
            <w:vAlign w:val="center"/>
            <w:shd w:fill="EAF2F7"/>
          </w:tcPr>
          <w:p>
            <w:pPr>
              <w:spacing w:after="20"/>
            </w:pPr>
            <w:r>
              <w:rPr>
                <w:sz w:val="15"/>
              </w:rPr>
              <w:t>Finance / risk owner</w:t>
            </w:r>
          </w:p>
        </w:tc>
        <w:tc>
          <w:tcPr>
            <w:tcW w:type="dxa" w:w="2304"/>
            <w:vAlign w:val="center"/>
            <w:shd w:fill="EAF2F7"/>
          </w:tcPr>
          <w:p>
            <w:pPr>
              <w:spacing w:after="20"/>
            </w:pPr>
            <w:r>
              <w:rPr>
                <w:sz w:val="15"/>
              </w:rPr>
            </w:r>
          </w:p>
        </w:tc>
        <w:tc>
          <w:tcPr>
            <w:tcW w:type="dxa" w:w="2880"/>
            <w:vAlign w:val="center"/>
            <w:shd w:fill="EAF2F7"/>
          </w:tcPr>
          <w:p>
            <w:pPr>
              <w:spacing w:after="20"/>
            </w:pPr>
            <w:r>
              <w:rPr>
                <w:sz w:val="15"/>
              </w:rPr>
              <w:t>Recommend / do not recommend</w:t>
            </w:r>
          </w:p>
        </w:tc>
        <w:tc>
          <w:tcPr>
            <w:tcW w:type="dxa" w:w="2592"/>
            <w:vAlign w:val="center"/>
            <w:shd w:fill="EAF2F7"/>
          </w:tcPr>
          <w:p>
            <w:pPr>
              <w:spacing w:after="20"/>
            </w:pPr>
            <w:r>
              <w:rPr>
                <w:sz w:val="15"/>
              </w:rPr>
            </w:r>
          </w:p>
        </w:tc>
      </w:tr>
    </w:tbl>
    <w:p>
      <w:pPr>
        <w:spacing w:after="0"/>
      </w:pPr>
    </w:p>
    <w:p>
      <w:pPr>
        <w:pStyle w:val="Heading2"/>
      </w:pPr>
      <w:r>
        <w:t>Record retention index</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3168"/>
            <w:shd w:fill="16324F"/>
          </w:tcPr>
          <w:p>
            <w:r>
              <w:rPr>
                <w:b/>
                <w:color w:val="FFFFFF"/>
                <w:sz w:val="16"/>
              </w:rPr>
              <w:t>Record set</w:t>
            </w:r>
          </w:p>
        </w:tc>
        <w:tc>
          <w:tcPr>
            <w:tcW w:type="dxa" w:w="2592"/>
            <w:shd w:fill="16324F"/>
          </w:tcPr>
          <w:p>
            <w:r>
              <w:rPr>
                <w:b/>
                <w:color w:val="FFFFFF"/>
                <w:sz w:val="16"/>
              </w:rPr>
              <w:t>Location</w:t>
            </w:r>
          </w:p>
        </w:tc>
        <w:tc>
          <w:tcPr>
            <w:tcW w:type="dxa" w:w="2592"/>
            <w:shd w:fill="16324F"/>
          </w:tcPr>
          <w:p>
            <w:r>
              <w:rPr>
                <w:b/>
                <w:color w:val="FFFFFF"/>
                <w:sz w:val="16"/>
              </w:rPr>
              <w:t>Retention trigger / period</w:t>
            </w:r>
          </w:p>
        </w:tc>
        <w:tc>
          <w:tcPr>
            <w:tcW w:type="dxa" w:w="1728"/>
            <w:shd w:fill="16324F"/>
          </w:tcPr>
          <w:p>
            <w:r>
              <w:rPr>
                <w:b/>
                <w:color w:val="FFFFFF"/>
                <w:sz w:val="16"/>
              </w:rPr>
              <w:t>Owner</w:t>
            </w:r>
          </w:p>
        </w:tc>
      </w:tr>
      <w:tr>
        <w:tc>
          <w:tcPr>
            <w:tcW w:type="dxa" w:w="3168"/>
            <w:vAlign w:val="center"/>
          </w:tcPr>
          <w:p>
            <w:pPr>
              <w:spacing w:after="20"/>
            </w:pPr>
            <w:r>
              <w:rPr>
                <w:sz w:val="15"/>
              </w:rPr>
              <w:t>Final application and attachments</w:t>
            </w:r>
          </w:p>
        </w:tc>
        <w:tc>
          <w:tcPr>
            <w:tcW w:type="dxa" w:w="2592"/>
            <w:vAlign w:val="center"/>
          </w:tcPr>
          <w:p>
            <w:pPr>
              <w:spacing w:after="20"/>
            </w:pPr>
            <w:r>
              <w:rPr>
                <w:sz w:val="15"/>
              </w:rPr>
            </w:r>
          </w:p>
        </w:tc>
        <w:tc>
          <w:tcPr>
            <w:tcW w:type="dxa" w:w="2592"/>
            <w:vAlign w:val="center"/>
          </w:tcPr>
          <w:p>
            <w:pPr>
              <w:spacing w:after="20"/>
            </w:pPr>
            <w:r>
              <w:rPr>
                <w:sz w:val="15"/>
              </w:rPr>
            </w:r>
          </w:p>
        </w:tc>
        <w:tc>
          <w:tcPr>
            <w:tcW w:type="dxa" w:w="1728"/>
            <w:vAlign w:val="center"/>
          </w:tcPr>
          <w:p>
            <w:pPr>
              <w:spacing w:after="20"/>
            </w:pPr>
            <w:r>
              <w:rPr>
                <w:sz w:val="15"/>
              </w:rPr>
            </w:r>
          </w:p>
        </w:tc>
      </w:tr>
      <w:tr>
        <w:tc>
          <w:tcPr>
            <w:tcW w:type="dxa" w:w="3168"/>
            <w:vAlign w:val="center"/>
            <w:shd w:fill="EAF2F7"/>
          </w:tcPr>
          <w:p>
            <w:pPr>
              <w:spacing w:after="20"/>
            </w:pPr>
            <w:r>
              <w:rPr>
                <w:sz w:val="15"/>
              </w:rPr>
              <w:t>Evidence package and validation notes</w:t>
            </w:r>
          </w:p>
        </w:tc>
        <w:tc>
          <w:tcPr>
            <w:tcW w:type="dxa" w:w="2592"/>
            <w:vAlign w:val="center"/>
            <w:shd w:fill="EAF2F7"/>
          </w:tcPr>
          <w:p>
            <w:pPr>
              <w:spacing w:after="20"/>
            </w:pPr>
            <w:r>
              <w:rPr>
                <w:sz w:val="15"/>
              </w:rPr>
            </w:r>
          </w:p>
        </w:tc>
        <w:tc>
          <w:tcPr>
            <w:tcW w:type="dxa" w:w="2592"/>
            <w:vAlign w:val="center"/>
            <w:shd w:fill="EAF2F7"/>
          </w:tcPr>
          <w:p>
            <w:pPr>
              <w:spacing w:after="20"/>
            </w:pPr>
            <w:r>
              <w:rPr>
                <w:sz w:val="15"/>
              </w:rPr>
            </w:r>
          </w:p>
        </w:tc>
        <w:tc>
          <w:tcPr>
            <w:tcW w:type="dxa" w:w="1728"/>
            <w:vAlign w:val="center"/>
            <w:shd w:fill="EAF2F7"/>
          </w:tcPr>
          <w:p>
            <w:pPr>
              <w:spacing w:after="20"/>
            </w:pPr>
            <w:r>
              <w:rPr>
                <w:sz w:val="15"/>
              </w:rPr>
            </w:r>
          </w:p>
        </w:tc>
      </w:tr>
      <w:tr>
        <w:tc>
          <w:tcPr>
            <w:tcW w:type="dxa" w:w="3168"/>
            <w:vAlign w:val="center"/>
          </w:tcPr>
          <w:p>
            <w:pPr>
              <w:spacing w:after="20"/>
            </w:pPr>
            <w:r>
              <w:rPr>
                <w:sz w:val="15"/>
              </w:rPr>
              <w:t>Quotes, comparison, and decision record</w:t>
            </w:r>
          </w:p>
        </w:tc>
        <w:tc>
          <w:tcPr>
            <w:tcW w:type="dxa" w:w="2592"/>
            <w:vAlign w:val="center"/>
          </w:tcPr>
          <w:p>
            <w:pPr>
              <w:spacing w:after="20"/>
            </w:pPr>
            <w:r>
              <w:rPr>
                <w:sz w:val="15"/>
              </w:rPr>
            </w:r>
          </w:p>
        </w:tc>
        <w:tc>
          <w:tcPr>
            <w:tcW w:type="dxa" w:w="2592"/>
            <w:vAlign w:val="center"/>
          </w:tcPr>
          <w:p>
            <w:pPr>
              <w:spacing w:after="20"/>
            </w:pPr>
            <w:r>
              <w:rPr>
                <w:sz w:val="15"/>
              </w:rPr>
            </w:r>
          </w:p>
        </w:tc>
        <w:tc>
          <w:tcPr>
            <w:tcW w:type="dxa" w:w="1728"/>
            <w:vAlign w:val="center"/>
          </w:tcPr>
          <w:p>
            <w:pPr>
              <w:spacing w:after="20"/>
            </w:pPr>
            <w:r>
              <w:rPr>
                <w:sz w:val="15"/>
              </w:rPr>
            </w:r>
          </w:p>
        </w:tc>
      </w:tr>
      <w:tr>
        <w:tc>
          <w:tcPr>
            <w:tcW w:type="dxa" w:w="3168"/>
            <w:vAlign w:val="center"/>
            <w:shd w:fill="EAF2F7"/>
          </w:tcPr>
          <w:p>
            <w:pPr>
              <w:spacing w:after="20"/>
            </w:pPr>
            <w:r>
              <w:rPr>
                <w:sz w:val="15"/>
              </w:rPr>
              <w:t>Policy, endorsements, and notices</w:t>
            </w:r>
          </w:p>
        </w:tc>
        <w:tc>
          <w:tcPr>
            <w:tcW w:type="dxa" w:w="2592"/>
            <w:vAlign w:val="center"/>
            <w:shd w:fill="EAF2F7"/>
          </w:tcPr>
          <w:p>
            <w:pPr>
              <w:spacing w:after="20"/>
            </w:pPr>
            <w:r>
              <w:rPr>
                <w:sz w:val="15"/>
              </w:rPr>
            </w:r>
          </w:p>
        </w:tc>
        <w:tc>
          <w:tcPr>
            <w:tcW w:type="dxa" w:w="2592"/>
            <w:vAlign w:val="center"/>
            <w:shd w:fill="EAF2F7"/>
          </w:tcPr>
          <w:p>
            <w:pPr>
              <w:spacing w:after="20"/>
            </w:pPr>
            <w:r>
              <w:rPr>
                <w:sz w:val="15"/>
              </w:rPr>
            </w:r>
          </w:p>
        </w:tc>
        <w:tc>
          <w:tcPr>
            <w:tcW w:type="dxa" w:w="1728"/>
            <w:vAlign w:val="center"/>
            <w:shd w:fill="EAF2F7"/>
          </w:tcPr>
          <w:p>
            <w:pPr>
              <w:spacing w:after="20"/>
            </w:pPr>
            <w:r>
              <w:rPr>
                <w:sz w:val="15"/>
              </w:rPr>
            </w:r>
          </w:p>
        </w:tc>
      </w:tr>
      <w:tr>
        <w:tc>
          <w:tcPr>
            <w:tcW w:type="dxa" w:w="3168"/>
            <w:vAlign w:val="center"/>
          </w:tcPr>
          <w:p>
            <w:pPr>
              <w:spacing w:after="20"/>
            </w:pPr>
            <w:r>
              <w:rPr>
                <w:sz w:val="15"/>
              </w:rPr>
              <w:t>Material correspondence and approvals</w:t>
            </w:r>
          </w:p>
        </w:tc>
        <w:tc>
          <w:tcPr>
            <w:tcW w:type="dxa" w:w="2592"/>
            <w:vAlign w:val="center"/>
          </w:tcPr>
          <w:p>
            <w:pPr>
              <w:spacing w:after="20"/>
            </w:pPr>
            <w:r>
              <w:rPr>
                <w:sz w:val="15"/>
              </w:rPr>
            </w:r>
          </w:p>
        </w:tc>
        <w:tc>
          <w:tcPr>
            <w:tcW w:type="dxa" w:w="2592"/>
            <w:vAlign w:val="center"/>
          </w:tcPr>
          <w:p>
            <w:pPr>
              <w:spacing w:after="20"/>
            </w:pPr>
            <w:r>
              <w:rPr>
                <w:sz w:val="15"/>
              </w:rPr>
            </w:r>
          </w:p>
        </w:tc>
        <w:tc>
          <w:tcPr>
            <w:tcW w:type="dxa" w:w="1728"/>
            <w:vAlign w:val="center"/>
          </w:tcPr>
          <w:p>
            <w:pPr>
              <w:spacing w:after="20"/>
            </w:pPr>
            <w:r>
              <w:rPr>
                <w:sz w:val="15"/>
              </w:rPr>
            </w:r>
          </w:p>
        </w:tc>
      </w:tr>
    </w:tbl>
    <w:p>
      <w:pPr>
        <w:spacing w:after="0"/>
      </w:pPr>
    </w:p>
    <w:p>
      <w:r>
        <w:br w:type="page"/>
      </w:r>
    </w:p>
    <w:p>
      <w:pPr>
        <w:pStyle w:val="Heading1"/>
      </w:pPr>
      <w:r>
        <w:t>Appendix A — Metrics for renewal governance</w:t>
      </w:r>
    </w:p>
    <w:tbl>
      <w:tblPr>
        <w:tblStyle w:val="TableGrid"/>
        <w:tblW w:type="auto" w:w="0"/>
        <w:jc w:val="center"/>
        <w:tblLook w:firstColumn="1" w:firstRow="1" w:lastColumn="0" w:lastRow="0" w:noHBand="0" w:noVBand="1" w:val="04A0"/>
      </w:tblPr>
      <w:tblGrid>
        <w:gridCol w:w="2045"/>
        <w:gridCol w:w="2045"/>
        <w:gridCol w:w="2045"/>
        <w:gridCol w:w="2045"/>
        <w:gridCol w:w="2045"/>
      </w:tblGrid>
      <w:tr>
        <w:trPr>
          <w:tblHeader w:val="true"/>
        </w:trPr>
        <w:tc>
          <w:tcPr>
            <w:tcW w:type="dxa" w:w="2880"/>
            <w:shd w:fill="16324F"/>
          </w:tcPr>
          <w:p>
            <w:r>
              <w:rPr>
                <w:b/>
                <w:color w:val="FFFFFF"/>
                <w:sz w:val="16"/>
              </w:rPr>
              <w:t>Metric</w:t>
            </w:r>
          </w:p>
        </w:tc>
        <w:tc>
          <w:tcPr>
            <w:tcW w:type="dxa" w:w="3888"/>
            <w:shd w:fill="16324F"/>
          </w:tcPr>
          <w:p>
            <w:r>
              <w:rPr>
                <w:b/>
                <w:color w:val="FFFFFF"/>
                <w:sz w:val="16"/>
              </w:rPr>
              <w:t>Definition</w:t>
            </w:r>
          </w:p>
        </w:tc>
        <w:tc>
          <w:tcPr>
            <w:tcW w:type="dxa" w:w="1440"/>
            <w:shd w:fill="16324F"/>
          </w:tcPr>
          <w:p>
            <w:r>
              <w:rPr>
                <w:b/>
                <w:color w:val="FFFFFF"/>
                <w:sz w:val="16"/>
              </w:rPr>
              <w:t>Target</w:t>
            </w:r>
          </w:p>
        </w:tc>
        <w:tc>
          <w:tcPr>
            <w:tcW w:type="dxa" w:w="1008"/>
            <w:shd w:fill="16324F"/>
          </w:tcPr>
          <w:p>
            <w:r>
              <w:rPr>
                <w:b/>
                <w:color w:val="FFFFFF"/>
                <w:sz w:val="16"/>
              </w:rPr>
              <w:t>Current</w:t>
            </w:r>
          </w:p>
        </w:tc>
        <w:tc>
          <w:tcPr>
            <w:tcW w:type="dxa" w:w="1584"/>
            <w:shd w:fill="16324F"/>
          </w:tcPr>
          <w:p>
            <w:r>
              <w:rPr>
                <w:b/>
                <w:color w:val="FFFFFF"/>
                <w:sz w:val="16"/>
              </w:rPr>
              <w:t>Trend / action</w:t>
            </w:r>
          </w:p>
        </w:tc>
      </w:tr>
      <w:tr>
        <w:tc>
          <w:tcPr>
            <w:tcW w:type="dxa" w:w="2880"/>
            <w:vAlign w:val="center"/>
          </w:tcPr>
          <w:p>
            <w:pPr>
              <w:spacing w:after="20"/>
            </w:pPr>
            <w:r>
              <w:rPr>
                <w:sz w:val="15"/>
              </w:rPr>
              <w:t>Evidence-backed response rate</w:t>
            </w:r>
          </w:p>
        </w:tc>
        <w:tc>
          <w:tcPr>
            <w:tcW w:type="dxa" w:w="3888"/>
            <w:vAlign w:val="center"/>
          </w:tcPr>
          <w:p>
            <w:pPr>
              <w:spacing w:after="20"/>
            </w:pPr>
            <w:r>
              <w:rPr>
                <w:sz w:val="15"/>
              </w:rPr>
              <w:t>Material responses with approved, current evidence ÷ material responses</w:t>
            </w:r>
          </w:p>
        </w:tc>
        <w:tc>
          <w:tcPr>
            <w:tcW w:type="dxa" w:w="1440"/>
            <w:vAlign w:val="center"/>
          </w:tcPr>
          <w:p>
            <w:pPr>
              <w:spacing w:after="20"/>
            </w:pPr>
            <w:r>
              <w:rPr>
                <w:sz w:val="15"/>
              </w:rPr>
              <w:t>100%</w:t>
            </w:r>
          </w:p>
        </w:tc>
        <w:tc>
          <w:tcPr>
            <w:tcW w:type="dxa" w:w="1008"/>
            <w:vAlign w:val="center"/>
          </w:tcPr>
          <w:p>
            <w:pPr>
              <w:spacing w:after="20"/>
            </w:pPr>
            <w:r>
              <w:rPr>
                <w:sz w:val="15"/>
              </w:rPr>
            </w:r>
          </w:p>
        </w:tc>
        <w:tc>
          <w:tcPr>
            <w:tcW w:type="dxa" w:w="1584"/>
            <w:vAlign w:val="center"/>
          </w:tcPr>
          <w:p>
            <w:pPr>
              <w:spacing w:after="20"/>
            </w:pPr>
            <w:r>
              <w:rPr>
                <w:sz w:val="15"/>
              </w:rPr>
            </w:r>
          </w:p>
        </w:tc>
      </w:tr>
      <w:tr>
        <w:tc>
          <w:tcPr>
            <w:tcW w:type="dxa" w:w="2880"/>
            <w:vAlign w:val="center"/>
            <w:shd w:fill="EAF2F7"/>
          </w:tcPr>
          <w:p>
            <w:pPr>
              <w:spacing w:after="20"/>
            </w:pPr>
            <w:r>
              <w:rPr>
                <w:sz w:val="15"/>
              </w:rPr>
              <w:t>Unknown response count</w:t>
            </w:r>
          </w:p>
        </w:tc>
        <w:tc>
          <w:tcPr>
            <w:tcW w:type="dxa" w:w="3888"/>
            <w:vAlign w:val="center"/>
            <w:shd w:fill="EAF2F7"/>
          </w:tcPr>
          <w:p>
            <w:pPr>
              <w:spacing w:after="20"/>
            </w:pPr>
            <w:r>
              <w:rPr>
                <w:sz w:val="15"/>
              </w:rPr>
              <w:t>Application questions awaiting validated answer</w:t>
            </w:r>
          </w:p>
        </w:tc>
        <w:tc>
          <w:tcPr>
            <w:tcW w:type="dxa" w:w="1440"/>
            <w:vAlign w:val="center"/>
            <w:shd w:fill="EAF2F7"/>
          </w:tcPr>
          <w:p>
            <w:pPr>
              <w:spacing w:after="20"/>
            </w:pPr>
            <w:r>
              <w:rPr>
                <w:sz w:val="15"/>
              </w:rPr>
              <w:t>0 at submission</w:t>
            </w:r>
          </w:p>
        </w:tc>
        <w:tc>
          <w:tcPr>
            <w:tcW w:type="dxa" w:w="1008"/>
            <w:vAlign w:val="center"/>
            <w:shd w:fill="EAF2F7"/>
          </w:tcPr>
          <w:p>
            <w:pPr>
              <w:spacing w:after="20"/>
            </w:pPr>
            <w:r>
              <w:rPr>
                <w:sz w:val="15"/>
              </w:rPr>
            </w:r>
          </w:p>
        </w:tc>
        <w:tc>
          <w:tcPr>
            <w:tcW w:type="dxa" w:w="1584"/>
            <w:vAlign w:val="center"/>
            <w:shd w:fill="EAF2F7"/>
          </w:tcPr>
          <w:p>
            <w:pPr>
              <w:spacing w:after="20"/>
            </w:pPr>
            <w:r>
              <w:rPr>
                <w:sz w:val="15"/>
              </w:rPr>
            </w:r>
          </w:p>
        </w:tc>
      </w:tr>
      <w:tr>
        <w:tc>
          <w:tcPr>
            <w:tcW w:type="dxa" w:w="2880"/>
            <w:vAlign w:val="center"/>
          </w:tcPr>
          <w:p>
            <w:pPr>
              <w:spacing w:after="20"/>
            </w:pPr>
            <w:r>
              <w:rPr>
                <w:sz w:val="15"/>
              </w:rPr>
              <w:t>High-risk gaps open</w:t>
            </w:r>
          </w:p>
        </w:tc>
        <w:tc>
          <w:tcPr>
            <w:tcW w:type="dxa" w:w="3888"/>
            <w:vAlign w:val="center"/>
          </w:tcPr>
          <w:p>
            <w:pPr>
              <w:spacing w:after="20"/>
            </w:pPr>
            <w:r>
              <w:rPr>
                <w:sz w:val="15"/>
              </w:rPr>
              <w:t>Critical/high gaps not resolved or formally accepted</w:t>
            </w:r>
          </w:p>
        </w:tc>
        <w:tc>
          <w:tcPr>
            <w:tcW w:type="dxa" w:w="1440"/>
            <w:vAlign w:val="center"/>
          </w:tcPr>
          <w:p>
            <w:pPr>
              <w:spacing w:after="20"/>
            </w:pPr>
            <w:r>
              <w:rPr>
                <w:sz w:val="15"/>
              </w:rPr>
              <w:t>0 critical</w:t>
            </w:r>
          </w:p>
        </w:tc>
        <w:tc>
          <w:tcPr>
            <w:tcW w:type="dxa" w:w="1008"/>
            <w:vAlign w:val="center"/>
          </w:tcPr>
          <w:p>
            <w:pPr>
              <w:spacing w:after="20"/>
            </w:pPr>
            <w:r>
              <w:rPr>
                <w:sz w:val="15"/>
              </w:rPr>
            </w:r>
          </w:p>
        </w:tc>
        <w:tc>
          <w:tcPr>
            <w:tcW w:type="dxa" w:w="1584"/>
            <w:vAlign w:val="center"/>
          </w:tcPr>
          <w:p>
            <w:pPr>
              <w:spacing w:after="20"/>
            </w:pPr>
            <w:r>
              <w:rPr>
                <w:sz w:val="15"/>
              </w:rPr>
            </w:r>
          </w:p>
        </w:tc>
      </w:tr>
      <w:tr>
        <w:tc>
          <w:tcPr>
            <w:tcW w:type="dxa" w:w="2880"/>
            <w:vAlign w:val="center"/>
            <w:shd w:fill="EAF2F7"/>
          </w:tcPr>
          <w:p>
            <w:pPr>
              <w:spacing w:after="20"/>
            </w:pPr>
            <w:r>
              <w:rPr>
                <w:sz w:val="15"/>
              </w:rPr>
              <w:t>MFA coverage</w:t>
            </w:r>
          </w:p>
        </w:tc>
        <w:tc>
          <w:tcPr>
            <w:tcW w:type="dxa" w:w="3888"/>
            <w:vAlign w:val="center"/>
            <w:shd w:fill="EAF2F7"/>
          </w:tcPr>
          <w:p>
            <w:pPr>
              <w:spacing w:after="20"/>
            </w:pPr>
            <w:r>
              <w:rPr>
                <w:sz w:val="15"/>
              </w:rPr>
              <w:t>In-scope accounts protected ÷ in-scope accounts</w:t>
            </w:r>
          </w:p>
        </w:tc>
        <w:tc>
          <w:tcPr>
            <w:tcW w:type="dxa" w:w="1440"/>
            <w:vAlign w:val="center"/>
            <w:shd w:fill="EAF2F7"/>
          </w:tcPr>
          <w:p>
            <w:pPr>
              <w:spacing w:after="20"/>
            </w:pPr>
            <w:r>
              <w:rPr>
                <w:sz w:val="15"/>
              </w:rPr>
              <w:t>[Set target]</w:t>
            </w:r>
          </w:p>
        </w:tc>
        <w:tc>
          <w:tcPr>
            <w:tcW w:type="dxa" w:w="1008"/>
            <w:vAlign w:val="center"/>
            <w:shd w:fill="EAF2F7"/>
          </w:tcPr>
          <w:p>
            <w:pPr>
              <w:spacing w:after="20"/>
            </w:pPr>
            <w:r>
              <w:rPr>
                <w:sz w:val="15"/>
              </w:rPr>
            </w:r>
          </w:p>
        </w:tc>
        <w:tc>
          <w:tcPr>
            <w:tcW w:type="dxa" w:w="1584"/>
            <w:vAlign w:val="center"/>
            <w:shd w:fill="EAF2F7"/>
          </w:tcPr>
          <w:p>
            <w:pPr>
              <w:spacing w:after="20"/>
            </w:pPr>
            <w:r>
              <w:rPr>
                <w:sz w:val="15"/>
              </w:rPr>
            </w:r>
          </w:p>
        </w:tc>
      </w:tr>
      <w:tr>
        <w:tc>
          <w:tcPr>
            <w:tcW w:type="dxa" w:w="2880"/>
            <w:vAlign w:val="center"/>
          </w:tcPr>
          <w:p>
            <w:pPr>
              <w:spacing w:after="20"/>
            </w:pPr>
            <w:r>
              <w:rPr>
                <w:sz w:val="15"/>
              </w:rPr>
              <w:t>EDR healthy coverage</w:t>
            </w:r>
          </w:p>
        </w:tc>
        <w:tc>
          <w:tcPr>
            <w:tcW w:type="dxa" w:w="3888"/>
            <w:vAlign w:val="center"/>
          </w:tcPr>
          <w:p>
            <w:pPr>
              <w:spacing w:after="20"/>
            </w:pPr>
            <w:r>
              <w:rPr>
                <w:sz w:val="15"/>
              </w:rPr>
              <w:t>Healthy protected endpoints ÷ in-scope endpoints</w:t>
            </w:r>
          </w:p>
        </w:tc>
        <w:tc>
          <w:tcPr>
            <w:tcW w:type="dxa" w:w="1440"/>
            <w:vAlign w:val="center"/>
          </w:tcPr>
          <w:p>
            <w:pPr>
              <w:spacing w:after="20"/>
            </w:pPr>
            <w:r>
              <w:rPr>
                <w:sz w:val="15"/>
              </w:rPr>
              <w:t>[Set target]</w:t>
            </w:r>
          </w:p>
        </w:tc>
        <w:tc>
          <w:tcPr>
            <w:tcW w:type="dxa" w:w="1008"/>
            <w:vAlign w:val="center"/>
          </w:tcPr>
          <w:p>
            <w:pPr>
              <w:spacing w:after="20"/>
            </w:pPr>
            <w:r>
              <w:rPr>
                <w:sz w:val="15"/>
              </w:rPr>
            </w:r>
          </w:p>
        </w:tc>
        <w:tc>
          <w:tcPr>
            <w:tcW w:type="dxa" w:w="1584"/>
            <w:vAlign w:val="center"/>
          </w:tcPr>
          <w:p>
            <w:pPr>
              <w:spacing w:after="20"/>
            </w:pPr>
            <w:r>
              <w:rPr>
                <w:sz w:val="15"/>
              </w:rPr>
            </w:r>
          </w:p>
        </w:tc>
      </w:tr>
      <w:tr>
        <w:tc>
          <w:tcPr>
            <w:tcW w:type="dxa" w:w="2880"/>
            <w:vAlign w:val="center"/>
            <w:shd w:fill="EAF2F7"/>
          </w:tcPr>
          <w:p>
            <w:pPr>
              <w:spacing w:after="20"/>
            </w:pPr>
            <w:r>
              <w:rPr>
                <w:sz w:val="15"/>
              </w:rPr>
              <w:t>Restore-test success</w:t>
            </w:r>
          </w:p>
        </w:tc>
        <w:tc>
          <w:tcPr>
            <w:tcW w:type="dxa" w:w="3888"/>
            <w:vAlign w:val="center"/>
            <w:shd w:fill="EAF2F7"/>
          </w:tcPr>
          <w:p>
            <w:pPr>
              <w:spacing w:after="20"/>
            </w:pPr>
            <w:r>
              <w:rPr>
                <w:sz w:val="15"/>
              </w:rPr>
              <w:t>Successful sampled restorations ÷ attempted restorations</w:t>
            </w:r>
          </w:p>
        </w:tc>
        <w:tc>
          <w:tcPr>
            <w:tcW w:type="dxa" w:w="1440"/>
            <w:vAlign w:val="center"/>
            <w:shd w:fill="EAF2F7"/>
          </w:tcPr>
          <w:p>
            <w:pPr>
              <w:spacing w:after="20"/>
            </w:pPr>
            <w:r>
              <w:rPr>
                <w:sz w:val="15"/>
              </w:rPr>
              <w:t>[Set target]</w:t>
            </w:r>
          </w:p>
        </w:tc>
        <w:tc>
          <w:tcPr>
            <w:tcW w:type="dxa" w:w="1008"/>
            <w:vAlign w:val="center"/>
            <w:shd w:fill="EAF2F7"/>
          </w:tcPr>
          <w:p>
            <w:pPr>
              <w:spacing w:after="20"/>
            </w:pPr>
            <w:r>
              <w:rPr>
                <w:sz w:val="15"/>
              </w:rPr>
            </w:r>
          </w:p>
        </w:tc>
        <w:tc>
          <w:tcPr>
            <w:tcW w:type="dxa" w:w="1584"/>
            <w:vAlign w:val="center"/>
            <w:shd w:fill="EAF2F7"/>
          </w:tcPr>
          <w:p>
            <w:pPr>
              <w:spacing w:after="20"/>
            </w:pPr>
            <w:r>
              <w:rPr>
                <w:sz w:val="15"/>
              </w:rPr>
            </w:r>
          </w:p>
        </w:tc>
      </w:tr>
      <w:tr>
        <w:tc>
          <w:tcPr>
            <w:tcW w:type="dxa" w:w="2880"/>
            <w:vAlign w:val="center"/>
          </w:tcPr>
          <w:p>
            <w:pPr>
              <w:spacing w:after="20"/>
            </w:pPr>
            <w:r>
              <w:rPr>
                <w:sz w:val="15"/>
              </w:rPr>
              <w:t>Critical vulnerability aging</w:t>
            </w:r>
          </w:p>
        </w:tc>
        <w:tc>
          <w:tcPr>
            <w:tcW w:type="dxa" w:w="3888"/>
            <w:vAlign w:val="center"/>
          </w:tcPr>
          <w:p>
            <w:pPr>
              <w:spacing w:after="20"/>
            </w:pPr>
            <w:r>
              <w:rPr>
                <w:sz w:val="15"/>
              </w:rPr>
              <w:t>Critical findings beyond approved SLA</w:t>
            </w:r>
          </w:p>
        </w:tc>
        <w:tc>
          <w:tcPr>
            <w:tcW w:type="dxa" w:w="1440"/>
            <w:vAlign w:val="center"/>
          </w:tcPr>
          <w:p>
            <w:pPr>
              <w:spacing w:after="20"/>
            </w:pPr>
            <w:r>
              <w:rPr>
                <w:sz w:val="15"/>
              </w:rPr>
              <w:t>[Set target]</w:t>
            </w:r>
          </w:p>
        </w:tc>
        <w:tc>
          <w:tcPr>
            <w:tcW w:type="dxa" w:w="1008"/>
            <w:vAlign w:val="center"/>
          </w:tcPr>
          <w:p>
            <w:pPr>
              <w:spacing w:after="20"/>
            </w:pPr>
            <w:r>
              <w:rPr>
                <w:sz w:val="15"/>
              </w:rPr>
            </w:r>
          </w:p>
        </w:tc>
        <w:tc>
          <w:tcPr>
            <w:tcW w:type="dxa" w:w="1584"/>
            <w:vAlign w:val="center"/>
          </w:tcPr>
          <w:p>
            <w:pPr>
              <w:spacing w:after="20"/>
            </w:pPr>
            <w:r>
              <w:rPr>
                <w:sz w:val="15"/>
              </w:rPr>
            </w:r>
          </w:p>
        </w:tc>
      </w:tr>
      <w:tr>
        <w:tc>
          <w:tcPr>
            <w:tcW w:type="dxa" w:w="2880"/>
            <w:vAlign w:val="center"/>
            <w:shd w:fill="EAF2F7"/>
          </w:tcPr>
          <w:p>
            <w:pPr>
              <w:spacing w:after="20"/>
            </w:pPr>
            <w:r>
              <w:rPr>
                <w:sz w:val="15"/>
              </w:rPr>
              <w:t>Renewal cycle time</w:t>
            </w:r>
          </w:p>
        </w:tc>
        <w:tc>
          <w:tcPr>
            <w:tcW w:type="dxa" w:w="3888"/>
            <w:vAlign w:val="center"/>
            <w:shd w:fill="EAF2F7"/>
          </w:tcPr>
          <w:p>
            <w:pPr>
              <w:spacing w:after="20"/>
            </w:pPr>
            <w:r>
              <w:rPr>
                <w:sz w:val="15"/>
              </w:rPr>
              <w:t>Days from kickoff to complete submission</w:t>
            </w:r>
          </w:p>
        </w:tc>
        <w:tc>
          <w:tcPr>
            <w:tcW w:type="dxa" w:w="1440"/>
            <w:vAlign w:val="center"/>
            <w:shd w:fill="EAF2F7"/>
          </w:tcPr>
          <w:p>
            <w:pPr>
              <w:spacing w:after="20"/>
            </w:pPr>
            <w:r>
              <w:rPr>
                <w:sz w:val="15"/>
              </w:rPr>
              <w:t>≤ [target]</w:t>
            </w:r>
          </w:p>
        </w:tc>
        <w:tc>
          <w:tcPr>
            <w:tcW w:type="dxa" w:w="1008"/>
            <w:vAlign w:val="center"/>
            <w:shd w:fill="EAF2F7"/>
          </w:tcPr>
          <w:p>
            <w:pPr>
              <w:spacing w:after="20"/>
            </w:pPr>
            <w:r>
              <w:rPr>
                <w:sz w:val="15"/>
              </w:rPr>
            </w:r>
          </w:p>
        </w:tc>
        <w:tc>
          <w:tcPr>
            <w:tcW w:type="dxa" w:w="1584"/>
            <w:vAlign w:val="center"/>
            <w:shd w:fill="EAF2F7"/>
          </w:tcPr>
          <w:p>
            <w:pPr>
              <w:spacing w:after="20"/>
            </w:pPr>
            <w:r>
              <w:rPr>
                <w:sz w:val="15"/>
              </w:rPr>
            </w:r>
          </w:p>
        </w:tc>
      </w:tr>
    </w:tbl>
    <w:p>
      <w:pPr>
        <w:spacing w:after="0"/>
      </w:pPr>
    </w:p>
    <w:p>
      <w:pPr>
        <w:pStyle w:val="Heading1"/>
      </w:pPr>
      <w:r>
        <w:t>Appendix B — Framework reference</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2880"/>
            <w:shd w:fill="16324F"/>
          </w:tcPr>
          <w:p>
            <w:r>
              <w:rPr>
                <w:b/>
                <w:color w:val="FFFFFF"/>
                <w:sz w:val="16"/>
              </w:rPr>
              <w:t>Workbook area</w:t>
            </w:r>
          </w:p>
        </w:tc>
        <w:tc>
          <w:tcPr>
            <w:tcW w:type="dxa" w:w="2880"/>
            <w:shd w:fill="16324F"/>
          </w:tcPr>
          <w:p>
            <w:r>
              <w:rPr>
                <w:b/>
                <w:color w:val="FFFFFF"/>
                <w:sz w:val="16"/>
              </w:rPr>
              <w:t>NIST CSF 2.0 emphasis</w:t>
            </w:r>
          </w:p>
        </w:tc>
        <w:tc>
          <w:tcPr>
            <w:tcW w:type="dxa" w:w="3600"/>
            <w:shd w:fill="16324F"/>
          </w:tcPr>
          <w:p>
            <w:r>
              <w:rPr>
                <w:b/>
                <w:color w:val="FFFFFF"/>
                <w:sz w:val="16"/>
              </w:rPr>
              <w:t>Related practice</w:t>
            </w:r>
          </w:p>
        </w:tc>
      </w:tr>
      <w:tr>
        <w:tc>
          <w:tcPr>
            <w:tcW w:type="dxa" w:w="2880"/>
            <w:vAlign w:val="center"/>
          </w:tcPr>
          <w:p>
            <w:pPr>
              <w:spacing w:after="20"/>
            </w:pPr>
            <w:r>
              <w:rPr>
                <w:sz w:val="15"/>
              </w:rPr>
              <w:t>Governance and accountability</w:t>
            </w:r>
          </w:p>
        </w:tc>
        <w:tc>
          <w:tcPr>
            <w:tcW w:type="dxa" w:w="2880"/>
            <w:vAlign w:val="center"/>
          </w:tcPr>
          <w:p>
            <w:pPr>
              <w:spacing w:after="20"/>
            </w:pPr>
            <w:r>
              <w:rPr>
                <w:sz w:val="15"/>
              </w:rPr>
              <w:t>GV.OC, GV.RR, GV.RM</w:t>
            </w:r>
          </w:p>
        </w:tc>
        <w:tc>
          <w:tcPr>
            <w:tcW w:type="dxa" w:w="3600"/>
            <w:vAlign w:val="center"/>
          </w:tcPr>
          <w:p>
            <w:pPr>
              <w:spacing w:after="20"/>
            </w:pPr>
            <w:r>
              <w:rPr>
                <w:sz w:val="15"/>
              </w:rPr>
              <w:t>Roles, risk strategy, oversight</w:t>
            </w:r>
          </w:p>
        </w:tc>
      </w:tr>
      <w:tr>
        <w:tc>
          <w:tcPr>
            <w:tcW w:type="dxa" w:w="2880"/>
            <w:vAlign w:val="center"/>
            <w:shd w:fill="EAF2F7"/>
          </w:tcPr>
          <w:p>
            <w:pPr>
              <w:spacing w:after="20"/>
            </w:pPr>
            <w:r>
              <w:rPr>
                <w:sz w:val="15"/>
              </w:rPr>
              <w:t>Exposure and asset profile</w:t>
            </w:r>
          </w:p>
        </w:tc>
        <w:tc>
          <w:tcPr>
            <w:tcW w:type="dxa" w:w="2880"/>
            <w:vAlign w:val="center"/>
            <w:shd w:fill="EAF2F7"/>
          </w:tcPr>
          <w:p>
            <w:pPr>
              <w:spacing w:after="20"/>
            </w:pPr>
            <w:r>
              <w:rPr>
                <w:sz w:val="15"/>
              </w:rPr>
              <w:t>ID.AM, ID.RA</w:t>
            </w:r>
          </w:p>
        </w:tc>
        <w:tc>
          <w:tcPr>
            <w:tcW w:type="dxa" w:w="3600"/>
            <w:vAlign w:val="center"/>
            <w:shd w:fill="EAF2F7"/>
          </w:tcPr>
          <w:p>
            <w:pPr>
              <w:spacing w:after="20"/>
            </w:pPr>
            <w:r>
              <w:rPr>
                <w:sz w:val="15"/>
              </w:rPr>
              <w:t>Assets, data, services, and risk assessment</w:t>
            </w:r>
          </w:p>
        </w:tc>
      </w:tr>
      <w:tr>
        <w:tc>
          <w:tcPr>
            <w:tcW w:type="dxa" w:w="2880"/>
            <w:vAlign w:val="center"/>
          </w:tcPr>
          <w:p>
            <w:pPr>
              <w:spacing w:after="20"/>
            </w:pPr>
            <w:r>
              <w:rPr>
                <w:sz w:val="15"/>
              </w:rPr>
              <w:t>Control validation</w:t>
            </w:r>
          </w:p>
        </w:tc>
        <w:tc>
          <w:tcPr>
            <w:tcW w:type="dxa" w:w="2880"/>
            <w:vAlign w:val="center"/>
          </w:tcPr>
          <w:p>
            <w:pPr>
              <w:spacing w:after="20"/>
            </w:pPr>
            <w:r>
              <w:rPr>
                <w:sz w:val="15"/>
              </w:rPr>
              <w:t>PR.AA, PR.DS, PR.PS, DE.CM</w:t>
            </w:r>
          </w:p>
        </w:tc>
        <w:tc>
          <w:tcPr>
            <w:tcW w:type="dxa" w:w="3600"/>
            <w:vAlign w:val="center"/>
          </w:tcPr>
          <w:p>
            <w:pPr>
              <w:spacing w:after="20"/>
            </w:pPr>
            <w:r>
              <w:rPr>
                <w:sz w:val="15"/>
              </w:rPr>
              <w:t>Access, data, platform security, monitoring</w:t>
            </w:r>
          </w:p>
        </w:tc>
      </w:tr>
      <w:tr>
        <w:tc>
          <w:tcPr>
            <w:tcW w:type="dxa" w:w="2880"/>
            <w:vAlign w:val="center"/>
            <w:shd w:fill="EAF2F7"/>
          </w:tcPr>
          <w:p>
            <w:pPr>
              <w:spacing w:after="20"/>
            </w:pPr>
            <w:r>
              <w:rPr>
                <w:sz w:val="15"/>
              </w:rPr>
              <w:t>Vendor dependencies</w:t>
            </w:r>
          </w:p>
        </w:tc>
        <w:tc>
          <w:tcPr>
            <w:tcW w:type="dxa" w:w="2880"/>
            <w:vAlign w:val="center"/>
            <w:shd w:fill="EAF2F7"/>
          </w:tcPr>
          <w:p>
            <w:pPr>
              <w:spacing w:after="20"/>
            </w:pPr>
            <w:r>
              <w:rPr>
                <w:sz w:val="15"/>
              </w:rPr>
              <w:t>GV.SC</w:t>
            </w:r>
          </w:p>
        </w:tc>
        <w:tc>
          <w:tcPr>
            <w:tcW w:type="dxa" w:w="3600"/>
            <w:vAlign w:val="center"/>
            <w:shd w:fill="EAF2F7"/>
          </w:tcPr>
          <w:p>
            <w:pPr>
              <w:spacing w:after="20"/>
            </w:pPr>
            <w:r>
              <w:rPr>
                <w:sz w:val="15"/>
              </w:rPr>
              <w:t>Cybersecurity supply chain risk management</w:t>
            </w:r>
          </w:p>
        </w:tc>
      </w:tr>
      <w:tr>
        <w:tc>
          <w:tcPr>
            <w:tcW w:type="dxa" w:w="2880"/>
            <w:vAlign w:val="center"/>
          </w:tcPr>
          <w:p>
            <w:pPr>
              <w:spacing w:after="20"/>
            </w:pPr>
            <w:r>
              <w:rPr>
                <w:sz w:val="15"/>
              </w:rPr>
              <w:t>Incident/claims readiness</w:t>
            </w:r>
          </w:p>
        </w:tc>
        <w:tc>
          <w:tcPr>
            <w:tcW w:type="dxa" w:w="2880"/>
            <w:vAlign w:val="center"/>
          </w:tcPr>
          <w:p>
            <w:pPr>
              <w:spacing w:after="20"/>
            </w:pPr>
            <w:r>
              <w:rPr>
                <w:sz w:val="15"/>
              </w:rPr>
              <w:t>RS.MA, RS.CO, RS.RP</w:t>
            </w:r>
          </w:p>
        </w:tc>
        <w:tc>
          <w:tcPr>
            <w:tcW w:type="dxa" w:w="3600"/>
            <w:vAlign w:val="center"/>
          </w:tcPr>
          <w:p>
            <w:pPr>
              <w:spacing w:after="20"/>
            </w:pPr>
            <w:r>
              <w:rPr>
                <w:sz w:val="15"/>
              </w:rPr>
              <w:t>Incident management, reporting, response execution</w:t>
            </w:r>
          </w:p>
        </w:tc>
      </w:tr>
      <w:tr>
        <w:tc>
          <w:tcPr>
            <w:tcW w:type="dxa" w:w="2880"/>
            <w:vAlign w:val="center"/>
            <w:shd w:fill="EAF2F7"/>
          </w:tcPr>
          <w:p>
            <w:pPr>
              <w:spacing w:after="20"/>
            </w:pPr>
            <w:r>
              <w:rPr>
                <w:sz w:val="15"/>
              </w:rPr>
              <w:t>Recovery readiness</w:t>
            </w:r>
          </w:p>
        </w:tc>
        <w:tc>
          <w:tcPr>
            <w:tcW w:type="dxa" w:w="2880"/>
            <w:vAlign w:val="center"/>
            <w:shd w:fill="EAF2F7"/>
          </w:tcPr>
          <w:p>
            <w:pPr>
              <w:spacing w:after="20"/>
            </w:pPr>
            <w:r>
              <w:rPr>
                <w:sz w:val="15"/>
              </w:rPr>
              <w:t>RC.RP, RC.CO</w:t>
            </w:r>
          </w:p>
        </w:tc>
        <w:tc>
          <w:tcPr>
            <w:tcW w:type="dxa" w:w="3600"/>
            <w:vAlign w:val="center"/>
            <w:shd w:fill="EAF2F7"/>
          </w:tcPr>
          <w:p>
            <w:pPr>
              <w:spacing w:after="20"/>
            </w:pPr>
            <w:r>
              <w:rPr>
                <w:sz w:val="15"/>
              </w:rPr>
              <w:t>Recovery execution and communications</w:t>
            </w:r>
          </w:p>
        </w:tc>
      </w:tr>
    </w:tbl>
    <w:p>
      <w:pPr>
        <w:spacing w:after="0"/>
      </w:pPr>
    </w:p>
    <w:p>
      <w:r>
        <w:t>Reference note: NIST CSF 2.0 is a voluntary risk-management framework. Crosswalk this workbook to contractual, regulatory, and sector-specific requirements as applicable. Policy coverage and legal obligations depend on the issued policy and governing law.</w:t>
      </w:r>
    </w:p>
    <w:sectPr w:rsidR="00A71822">
      <w:headerReference w:type="default" r:id="rId7"/>
      <w:footerReference w:type="default" r:id="rId8"/>
      <w:pgSz w:w="12240" w:h="15840"/>
      <w:pgMar w:top="108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22ED2" w14:textId="77777777" w:rsidR="003B7F99" w:rsidRDefault="003B7F99" w:rsidP="00372923">
      <w:pPr>
        <w:spacing w:after="0" w:line="240" w:lineRule="auto"/>
      </w:pPr>
      <w:r>
        <w:separator/>
      </w:r>
    </w:p>
  </w:endnote>
  <w:endnote w:type="continuationSeparator" w:id="0">
    <w:p w14:paraId="156D6524" w14:textId="77777777" w:rsidR="003B7F99" w:rsidRDefault="003B7F99" w:rsidP="00372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736EB" w14:textId="77777777" w:rsidR="00372923" w:rsidRPr="00372923" w:rsidRDefault="00372923" w:rsidP="00372923">
    <w:pPr>
      <w:spacing w:after="120"/>
      <w:rPr>
        <w:b/>
        <w:bCs/>
        <w:i/>
        <w:iCs/>
      </w:rPr>
    </w:pPr>
    <w:r w:rsidRPr="00372923">
      <w:rPr>
        <w:rFonts w:ascii="Arial" w:hAnsi="Arial" w:cs="Arial"/>
        <w:b/>
        <w:bCs/>
        <w:i/>
        <w:iCs/>
        <w:color w:val="0D1B2A"/>
        <w:sz w:val="22"/>
      </w:rPr>
      <w:t>Template only: this document requires customization, validation, and approval before use.</w:t>
    </w:r>
  </w:p>
  <w:p w14:paraId="23DCCFD3" w14:textId="77777777" w:rsidR="00372923" w:rsidRDefault="00372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EB018" w14:textId="77777777" w:rsidR="003B7F99" w:rsidRDefault="003B7F99" w:rsidP="00372923">
      <w:pPr>
        <w:spacing w:after="0" w:line="240" w:lineRule="auto"/>
      </w:pPr>
      <w:r>
        <w:separator/>
      </w:r>
    </w:p>
  </w:footnote>
  <w:footnote w:type="continuationSeparator" w:id="0">
    <w:p w14:paraId="18BB6DFD" w14:textId="77777777" w:rsidR="003B7F99" w:rsidRDefault="003B7F99" w:rsidP="00372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7ED5" w14:textId="054D0429" w:rsidR="00372923" w:rsidRDefault="009214C1" w:rsidP="009214C1">
    <w:pPr>
      <w:pStyle w:val="Heading1"/>
      <w:jc w:val="right"/>
    </w:pPr>
    <w:r w:rsidRPr="009214C1">
      <w:rPr>
        <w:noProof/>
      </w:rPr>
      <w:drawing>
        <wp:anchor distT="0" distB="0" distL="114300" distR="114300" simplePos="0" relativeHeight="251658240" behindDoc="0" locked="0" layoutInCell="1" allowOverlap="1" wp14:anchorId="2753E83F" wp14:editId="26479961">
          <wp:simplePos x="0" y="0"/>
          <wp:positionH relativeFrom="margin">
            <wp:posOffset>-343535</wp:posOffset>
          </wp:positionH>
          <wp:positionV relativeFrom="margin">
            <wp:posOffset>-276755</wp:posOffset>
          </wp:positionV>
          <wp:extent cx="1834973" cy="217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34973" cy="217805"/>
                  </a:xfrm>
                  <a:prstGeom prst="rect">
                    <a:avLst/>
                  </a:prstGeom>
                </pic:spPr>
              </pic:pic>
            </a:graphicData>
          </a:graphic>
        </wp:anchor>
      </w:drawing>
    </w:r>
    <w:r>
      <w:t>Sample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86D92"/>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822"/>
    <w:rsid w:val="000050A2"/>
    <w:rsid w:val="0030020E"/>
    <w:rsid w:val="00372923"/>
    <w:rsid w:val="003B7F99"/>
    <w:rsid w:val="005312C0"/>
    <w:rsid w:val="006B64E8"/>
    <w:rsid w:val="00850C50"/>
    <w:rsid w:val="009214C1"/>
    <w:rsid w:val="00A71822"/>
    <w:rsid w:val="00AE40EB"/>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05162"/>
  <w15:docId w15:val="{11506B26-AEFD-7343-867B-D561DF51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4C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923"/>
  </w:style>
  <w:style w:type="paragraph" w:styleId="Footer">
    <w:name w:val="footer"/>
    <w:basedOn w:val="Normal"/>
    <w:link w:val="FooterChar"/>
    <w:uiPriority w:val="99"/>
    <w:unhideWhenUsed/>
    <w:rsid w:val="00372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923"/>
  </w:style>
  <w:style w:type="character" w:customStyle="1" w:styleId="Heading1Char">
    <w:name w:val="Heading 1 Char"/>
    <w:basedOn w:val="DefaultParagraphFont"/>
    <w:link w:val="Heading1"/>
    <w:uiPriority w:val="9"/>
    <w:rsid w:val="009214C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F5A7A"/>
      <w:sz w:val="24"/>
      <w:szCs w:val="26"/>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326F9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CocoaOOXMLWriter/2685.5</generator>
</meta>
</file>

<file path=customXml/itemProps1.xml><?xml version="1.0" encoding="utf-8"?>
<ds:datastoreItem xmlns:ds="http://schemas.openxmlformats.org/officeDocument/2006/customXml" ds:itemID="{A4B1F1FC-DB82-9342-97E7-8BFBC053027C}">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2587</Characters>
  <Application>Microsoft Office Word</Application>
  <DocSecurity>0</DocSecurity>
  <Lines>42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 Hill</cp:lastModifiedBy>
  <cp:revision>2</cp:revision>
  <dcterms:created xsi:type="dcterms:W3CDTF">2026-04-23T12:52:00Z</dcterms:created>
  <dcterms:modified xsi:type="dcterms:W3CDTF">2026-04-23T12:52:00Z</dcterms:modified>
</cp:coreProperties>
</file>