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0ABF3" w14:textId="77777777" w:rsidR="00A71822" w:rsidRDefault="00A71822">
      <w:pPr>
        <w:spacing w:after="180"/>
      </w:pPr>
    </w:p>
    <w:p w14:paraId="4AFBBEAB" w14:textId="0C0998F4" w:rsidR="00A71822" w:rsidRDefault="00000000">
      <w:pPr>
        <w:spacing w:after="200"/>
        <w:jc w:val="center"/>
      </w:pPr>
      <w:r>
        <w:rPr>
          <w:rFonts w:ascii="Helvetica" w:hAnsi="Helvetica" w:cs="Helvetica"/>
          <w:b/>
          <w:color w:val="1A3A5C"/>
          <w:sz w:val="34"/>
        </w:rPr>
        <w:t xml:space="preserve">Template </w:t>
      </w:r>
      <w:r w:rsidR="00372923">
        <w:rPr>
          <w:rFonts w:ascii="Helvetica" w:hAnsi="Helvetica" w:cs="Helvetica"/>
          <w:b/>
          <w:color w:val="1A3A5C"/>
          <w:sz w:val="34"/>
        </w:rPr>
        <w:t xml:space="preserve">Document </w:t>
      </w:r>
      <w:r>
        <w:rPr>
          <w:rFonts w:ascii="Helvetica" w:hAnsi="Helvetica" w:cs="Helvetica"/>
          <w:b/>
          <w:color w:val="1A3A5C"/>
          <w:sz w:val="34"/>
        </w:rPr>
        <w:t>Disclaimer</w:t>
      </w:r>
    </w:p>
    <w:p w14:paraId="36CE832F" w14:textId="673D785E" w:rsidR="00A71822" w:rsidRDefault="00000000">
      <w:pPr>
        <w:spacing w:after="180"/>
      </w:pPr>
      <w:r>
        <w:rPr>
          <w:rFonts w:ascii="Arial" w:hAnsi="Arial" w:cs="Arial"/>
          <w:b/>
          <w:color w:val="0D1B2A"/>
        </w:rPr>
        <w:t>Bottom line:</w:t>
      </w:r>
      <w:r w:rsidR="00372923">
        <w:rPr>
          <w:rFonts w:ascii="Arial" w:hAnsi="Arial" w:cs="Arial"/>
          <w:b/>
          <w:color w:val="0D1B2A"/>
        </w:rPr>
        <w:t xml:space="preserve"> </w:t>
      </w:r>
      <w:r>
        <w:rPr>
          <w:rFonts w:ascii="Arial" w:hAnsi="Arial" w:cs="Arial"/>
          <w:color w:val="0D1B2A"/>
        </w:rPr>
        <w:t>This document is a starting-point template only. It must be reviewed, customized, and formally approved before use.</w:t>
      </w:r>
    </w:p>
    <w:p w14:paraId="2B8B6C7B" w14:textId="77777777" w:rsidR="00A71822" w:rsidRDefault="00000000">
      <w:pPr>
        <w:spacing w:after="180"/>
      </w:pPr>
      <w:r>
        <w:rPr>
          <w:rFonts w:ascii="Arial" w:hAnsi="Arial" w:cs="Arial"/>
          <w:color w:val="0D1B2A"/>
          <w:sz w:val="23"/>
        </w:rPr>
        <w:t>This template is provided for general informational and business-use purposes only. It is not a final, client-ready document. Each organization must revise this template to reflect its legal entity, operating environment, systems, controls, personnel, risk profile, contractual obligations, and applicable legal and regulatory requirements before adoption or reliance.</w:t>
      </w:r>
    </w:p>
    <w:p w14:paraId="1ECD6C53" w14:textId="77777777" w:rsidR="00A71822" w:rsidRDefault="00000000">
      <w:pPr>
        <w:spacing w:after="180"/>
      </w:pPr>
      <w:r>
        <w:rPr>
          <w:rFonts w:ascii="Arial" w:hAnsi="Arial" w:cs="Arial"/>
          <w:color w:val="0D1B2A"/>
          <w:sz w:val="23"/>
        </w:rPr>
        <w:t>This template does not constitute legal advice, regulatory advice, audit advice, compliance advice, or any other professional advice. Use of this template does not create any attorney-client, advisory, fiduciary, or professional-services relationship except as expressly stated in a separate written agreement. Organizations should consult qualified legal counsel, compliance professionals, and other appropriate advisors before relying on this document.</w:t>
      </w:r>
    </w:p>
    <w:p w14:paraId="49C16420" w14:textId="77777777" w:rsidR="00A71822" w:rsidRDefault="00000000">
      <w:pPr>
        <w:spacing w:after="180"/>
      </w:pPr>
      <w:r>
        <w:rPr>
          <w:rFonts w:ascii="Arial" w:hAnsi="Arial" w:cs="Arial"/>
          <w:color w:val="0D1B2A"/>
          <w:sz w:val="23"/>
        </w:rPr>
        <w:t>No representation, warranty, or guarantee, express or implied, is made regarding the accuracy, completeness, sufficiency, enforceability, merchantability, fitness for a particular purpose, or suitability of this template for any specific organization, environment, or use case. This template is not a guarantee of compliance with any law, regulation, regulatory guidance, enforcement expectation, examination standard, framework, control set, industry practice, or contractual requirement, including but not limited to cybersecurity, privacy, financial-services, consumer-protection, or sector-specific obligations.</w:t>
      </w:r>
    </w:p>
    <w:p w14:paraId="1B2AED67" w14:textId="77777777" w:rsidR="00A71822" w:rsidRDefault="00000000">
      <w:pPr>
        <w:spacing w:after="180"/>
      </w:pPr>
      <w:r>
        <w:rPr>
          <w:rFonts w:ascii="Arial" w:hAnsi="Arial" w:cs="Arial"/>
          <w:color w:val="0D1B2A"/>
          <w:sz w:val="23"/>
        </w:rPr>
        <w:t>Each organization is solely responsible for performing its own legal, regulatory, operational, technical, and risk review; validating the accuracy and practicality of the content; testing the documented procedures; and updating the document to align with actual business processes and current requirements. If this template conflicts with applicable law, regulation, guidance, internal policy, or operational reality, the organization must modify the document accordingly before use.</w:t>
      </w:r>
    </w:p>
    <w:p w14:paraId="58E250B9" w14:textId="547ED43C" w:rsidR="00A71822" w:rsidRDefault="00000000">
      <w:pPr>
        <w:spacing w:after="180"/>
      </w:pPr>
      <w:r>
        <w:rPr>
          <w:rFonts w:ascii="Arial" w:hAnsi="Arial" w:cs="Arial"/>
          <w:color w:val="0D1B2A"/>
          <w:sz w:val="23"/>
        </w:rPr>
        <w:t>To the maximum extent permitted by law, SecureCyberInsight disclaim</w:t>
      </w:r>
      <w:r w:rsidR="006B64E8">
        <w:rPr>
          <w:rFonts w:ascii="Arial" w:hAnsi="Arial" w:cs="Arial"/>
          <w:color w:val="0D1B2A"/>
          <w:sz w:val="23"/>
        </w:rPr>
        <w:t>s</w:t>
      </w:r>
      <w:r>
        <w:rPr>
          <w:rFonts w:ascii="Arial" w:hAnsi="Arial" w:cs="Arial"/>
          <w:color w:val="0D1B2A"/>
          <w:sz w:val="23"/>
        </w:rPr>
        <w:t xml:space="preserve"> all liability for any direct, indirect, incidental, consequential, special, exemplary, punitive, regulatory, or business losses, damages, penalties, costs, expenses, or claims arising from or related to the use of, reliance on, implementation of, distribution of, or failure to modify this template.</w:t>
      </w:r>
    </w:p>
    <w:p w14:paraId="705E77E5" w14:textId="77777777" w:rsidR="00372923" w:rsidRDefault="00372923">
      <w:pPr>
        <w:spacing w:after="220"/>
        <w:rPr>
          <w:rFonts w:ascii="Helvetica" w:hAnsi="Helvetica" w:cs="Helvetica"/>
          <w:b/>
          <w:color w:val="1A3A5C"/>
        </w:rPr>
      </w:pPr>
    </w:p>
    <w:p w14:paraId="4604919A" w14:textId="77777777" w:rsidR="00372923" w:rsidRDefault="00372923">
      <w:pPr>
        <w:spacing w:after="220"/>
        <w:rPr>
          <w:rFonts w:ascii="Helvetica" w:hAnsi="Helvetica" w:cs="Helvetica"/>
          <w:b/>
          <w:color w:val="1A3A5C"/>
        </w:rPr>
      </w:pPr>
    </w:p>
    <w:p w14:paraId="55DA8DBD" w14:textId="77777777" w:rsidR="00372923" w:rsidRDefault="00372923">
      <w:pPr>
        <w:spacing w:after="220"/>
        <w:rPr>
          <w:rFonts w:ascii="Helvetica" w:hAnsi="Helvetica" w:cs="Helvetica"/>
          <w:b/>
          <w:color w:val="1A3A5C"/>
        </w:rPr>
      </w:pPr>
    </w:p>
    <w:p w14:paraId="0EAD0A61" w14:textId="77777777" w:rsidR="00372923" w:rsidRDefault="00372923">
      <w:pPr>
        <w:spacing w:after="220"/>
        <w:rPr>
          <w:rFonts w:ascii="Helvetica" w:hAnsi="Helvetica" w:cs="Helvetica"/>
          <w:b/>
          <w:color w:val="1A3A5C"/>
        </w:rPr>
      </w:pPr>
    </w:p>
    <w:p w14:paraId="39D533EE" w14:textId="77777777" w:rsidR="00372923" w:rsidRDefault="00372923">
      <w:pPr>
        <w:spacing w:after="220"/>
        <w:rPr>
          <w:rFonts w:ascii="Helvetica" w:hAnsi="Helvetica" w:cs="Helvetica"/>
          <w:b/>
          <w:color w:val="1A3A5C"/>
        </w:rPr>
      </w:pPr>
    </w:p>
    <w:p w14:paraId="7D3FADE8" w14:textId="1F73D593" w:rsidR="00A71822" w:rsidRDefault="00000000">
      <w:pPr>
        <w:spacing w:after="220"/>
      </w:pPr>
      <w:r>
        <w:rPr>
          <w:rFonts w:ascii="Helvetica" w:hAnsi="Helvetica" w:cs="Helvetica"/>
          <w:b/>
          <w:color w:val="1A3A5C"/>
        </w:rPr>
        <w:t>Template completion requirements</w:t>
      </w:r>
    </w:p>
    <w:p w14:paraId="0EFFA248" w14:textId="77777777" w:rsidR="00A71822" w:rsidRDefault="00000000">
      <w:pPr>
        <w:spacing w:after="120"/>
        <w:ind w:left="360"/>
      </w:pPr>
      <w:r>
        <w:rPr>
          <w:rFonts w:ascii="Arial" w:hAnsi="Arial" w:cs="Arial"/>
          <w:color w:val="0D1B2A"/>
          <w:sz w:val="22"/>
        </w:rPr>
        <w:t>•</w:t>
      </w:r>
      <w:r>
        <w:rPr>
          <w:rFonts w:ascii="Arial" w:hAnsi="Arial" w:cs="Arial"/>
          <w:color w:val="0D1B2A"/>
          <w:sz w:val="22"/>
        </w:rPr>
        <w:tab/>
        <w:t>Replace all placeholders, bracketed fields, and sample language.</w:t>
      </w:r>
    </w:p>
    <w:p w14:paraId="00016785" w14:textId="77777777" w:rsidR="00A71822" w:rsidRDefault="00000000">
      <w:pPr>
        <w:spacing w:after="120"/>
        <w:ind w:left="360"/>
      </w:pPr>
      <w:r>
        <w:rPr>
          <w:rFonts w:ascii="Arial" w:hAnsi="Arial" w:cs="Arial"/>
          <w:color w:val="0D1B2A"/>
          <w:sz w:val="22"/>
        </w:rPr>
        <w:t>•</w:t>
      </w:r>
      <w:r>
        <w:rPr>
          <w:rFonts w:ascii="Arial" w:hAnsi="Arial" w:cs="Arial"/>
          <w:color w:val="0D1B2A"/>
          <w:sz w:val="22"/>
        </w:rPr>
        <w:tab/>
        <w:t>Insert the company name, legal entity, document owner, and approval details.</w:t>
      </w:r>
    </w:p>
    <w:p w14:paraId="50ED181B" w14:textId="77777777" w:rsidR="00A71822" w:rsidRDefault="00000000">
      <w:pPr>
        <w:spacing w:after="120"/>
        <w:ind w:left="360"/>
      </w:pPr>
      <w:r>
        <w:rPr>
          <w:rFonts w:ascii="Arial" w:hAnsi="Arial" w:cs="Arial"/>
          <w:color w:val="0D1B2A"/>
          <w:sz w:val="22"/>
        </w:rPr>
        <w:t>•</w:t>
      </w:r>
      <w:r>
        <w:rPr>
          <w:rFonts w:ascii="Arial" w:hAnsi="Arial" w:cs="Arial"/>
          <w:color w:val="0D1B2A"/>
          <w:sz w:val="22"/>
        </w:rPr>
        <w:tab/>
        <w:t>Define the regulatory, contractual, and framework scope that applies to the organization.</w:t>
      </w:r>
    </w:p>
    <w:p w14:paraId="32C2A5E4" w14:textId="77777777" w:rsidR="00A71822" w:rsidRDefault="00000000">
      <w:pPr>
        <w:spacing w:after="120"/>
        <w:ind w:left="360"/>
      </w:pPr>
      <w:r>
        <w:rPr>
          <w:rFonts w:ascii="Arial" w:hAnsi="Arial" w:cs="Arial"/>
          <w:color w:val="0D1B2A"/>
          <w:sz w:val="22"/>
        </w:rPr>
        <w:t>•</w:t>
      </w:r>
      <w:r>
        <w:rPr>
          <w:rFonts w:ascii="Arial" w:hAnsi="Arial" w:cs="Arial"/>
          <w:color w:val="0D1B2A"/>
          <w:sz w:val="22"/>
        </w:rPr>
        <w:tab/>
        <w:t>Validate all procedures, control statements, roles, contact details, and approvals.</w:t>
      </w:r>
    </w:p>
    <w:p w14:paraId="7062FA9C" w14:textId="77777777" w:rsidR="00A71822" w:rsidRDefault="00000000">
      <w:pPr>
        <w:spacing w:after="120"/>
        <w:ind w:left="360"/>
      </w:pPr>
      <w:r>
        <w:rPr>
          <w:rFonts w:ascii="Arial" w:hAnsi="Arial" w:cs="Arial"/>
          <w:color w:val="0D1B2A"/>
          <w:sz w:val="22"/>
        </w:rPr>
        <w:t>•</w:t>
      </w:r>
      <w:r>
        <w:rPr>
          <w:rFonts w:ascii="Arial" w:hAnsi="Arial" w:cs="Arial"/>
          <w:color w:val="0D1B2A"/>
          <w:sz w:val="22"/>
        </w:rPr>
        <w:tab/>
        <w:t>Obtain legal, compliance, and management review as appropriate before use.</w:t>
      </w:r>
    </w:p>
    <w:p w14:paraId="20352A42" w14:textId="77777777" w:rsidR="00A71822" w:rsidRDefault="00000000">
      <w:pPr>
        <w:spacing w:after="120"/>
        <w:ind w:left="360"/>
      </w:pPr>
      <w:r>
        <w:rPr>
          <w:rFonts w:ascii="Arial" w:hAnsi="Arial" w:cs="Arial"/>
          <w:color w:val="0D1B2A"/>
          <w:sz w:val="22"/>
        </w:rPr>
        <w:t>•</w:t>
      </w:r>
      <w:r>
        <w:rPr>
          <w:rFonts w:ascii="Arial" w:hAnsi="Arial" w:cs="Arial"/>
          <w:color w:val="0D1B2A"/>
          <w:sz w:val="22"/>
        </w:rPr>
        <w:tab/>
        <w:t>Record the approval date, version, and revision history before release or publication.</w:t>
      </w:r>
    </w:p>
    <w:p w14:paraId="2E488024" w14:textId="60F48173" w:rsidR="00A71822" w:rsidRDefault="00A71822">
      <w:pPr>
        <w:spacing w:after="120"/>
      </w:pPr>
    </w:p>
    <w:p>
      <w:r>
        <w:br w:type="page"/>
      </w:r>
    </w:p>
    <w:p>
      <w:pPr>
        <w:pStyle w:val="Title"/>
        <w:jc w:val="center"/>
      </w:pPr>
      <w:r>
        <w:t>Vulnerability Remediation SLA and Exception Tracker</w:t>
      </w:r>
    </w:p>
    <w:p>
      <w:pPr>
        <w:jc w:val="center"/>
      </w:pPr>
      <w:r>
        <w:rPr>
          <w:b/>
          <w:color w:val="595959"/>
          <w:sz w:val="24"/>
        </w:rPr>
        <w:t>Implementation Template | SecureCyberInsight Document Library</w:t>
      </w:r>
    </w:p>
    <w:p>
      <w:r>
        <w:t>Use this template to define remediation deadlines, document compensating controls, escalate overdue findings, and produce audit-ready evidence. Replace bracketed text before approval.</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40"/>
            <w:vAlign w:val="center"/>
          </w:tcPr>
          <w:p>
            <w:r>
              <w:rPr>
                <w:b/>
              </w:rPr>
              <w:t>Document owner</w:t>
            </w:r>
          </w:p>
        </w:tc>
        <w:tc>
          <w:tcPr>
            <w:tcW w:type="dxa" w:w="2340"/>
            <w:vAlign w:val="center"/>
          </w:tcPr>
          <w:p>
            <w:r>
              <w:rPr>
                <w:b/>
              </w:rPr>
              <w:t>Approver</w:t>
            </w:r>
          </w:p>
        </w:tc>
        <w:tc>
          <w:tcPr>
            <w:tcW w:type="dxa" w:w="2340"/>
            <w:vAlign w:val="center"/>
          </w:tcPr>
          <w:p>
            <w:r>
              <w:rPr>
                <w:b/>
              </w:rPr>
              <w:t>Effective date</w:t>
            </w:r>
          </w:p>
        </w:tc>
        <w:tc>
          <w:tcPr>
            <w:tcW w:type="dxa" w:w="2340"/>
            <w:vAlign w:val="center"/>
          </w:tcPr>
          <w:p>
            <w:r>
              <w:rPr>
                <w:b/>
              </w:rPr>
              <w:t>Review cycle</w:t>
            </w:r>
          </w:p>
        </w:tc>
      </w:tr>
      <w:tr>
        <w:tc>
          <w:tcPr>
            <w:tcW w:type="dxa" w:w="2340"/>
            <w:vAlign w:val="top"/>
          </w:tcPr>
          <w:p>
            <w:r>
              <w:t>[Role/name]</w:t>
            </w:r>
          </w:p>
        </w:tc>
        <w:tc>
          <w:tcPr>
            <w:tcW w:type="dxa" w:w="2340"/>
            <w:vAlign w:val="top"/>
          </w:tcPr>
          <w:p>
            <w:r>
              <w:t>[Role or committee]</w:t>
            </w:r>
          </w:p>
        </w:tc>
        <w:tc>
          <w:tcPr>
            <w:tcW w:type="dxa" w:w="2340"/>
            <w:vAlign w:val="top"/>
          </w:tcPr>
          <w:p>
            <w:r>
              <w:t>[YYYY-MM-DD]</w:t>
            </w:r>
          </w:p>
        </w:tc>
        <w:tc>
          <w:tcPr>
            <w:tcW w:type="dxa" w:w="2340"/>
            <w:vAlign w:val="top"/>
          </w:tcPr>
          <w:p>
            <w:r>
              <w:t>At least annually</w:t>
            </w:r>
          </w:p>
        </w:tc>
      </w:tr>
    </w:tbl>
    <w:p/>
    <w:p>
      <w:pPr>
        <w:pStyle w:val="Heading1"/>
      </w:pPr>
      <w:r>
        <w:t>1. Purpose and outcomes</w:t>
      </w:r>
    </w:p>
    <w:p>
      <w:r>
        <w:t>This template establishes a risk-based method for triaging and remediating vulnerabilities in systems, applications, cloud services, endpoints, and network devices. It links severity to a target completion date, requires evidence of closure, and governs temporary exceptions when remediation cannot be completed on time. It also recognizes that exploit automation, threat intelligence, and AI-assisted attack techniques can shorten the time between vulnerability disclosure and attempted exploitation.</w:t>
      </w:r>
    </w:p>
    <w:p>
      <w:pPr>
        <w:pStyle w:val="ListBullet"/>
      </w:pPr>
      <w:r>
        <w:t>Reduce exploitable exposure within defined risk tolerances.</w:t>
      </w:r>
    </w:p>
    <w:p>
      <w:pPr>
        <w:pStyle w:val="ListBullet"/>
      </w:pPr>
      <w:r>
        <w:t>Give system owners clear deadlines and escalation paths.</w:t>
      </w:r>
    </w:p>
    <w:p>
      <w:pPr>
        <w:pStyle w:val="ListBullet"/>
      </w:pPr>
      <w:r>
        <w:t>Ensure accepted risk is time-bound, approved, and supported by compensating controls.</w:t>
      </w:r>
    </w:p>
    <w:p>
      <w:pPr>
        <w:pStyle w:val="ListBullet"/>
      </w:pPr>
      <w:r>
        <w:t>Provide consistent operational and audit evidence.</w:t>
      </w:r>
    </w:p>
    <w:p>
      <w:pPr>
        <w:pStyle w:val="ListBullet"/>
      </w:pPr>
      <w:r>
        <w:t>Accelerate remediation or mitigation when active exploitation, automated exploit paths, or AI-assisted attack techniques materially increase risk.</w:t>
      </w:r>
    </w:p>
    <w:p>
      <w:pPr>
        <w:pStyle w:val="Heading1"/>
      </w:pPr>
      <w:r>
        <w:t>2. Scope and prerequisites</w:t>
      </w:r>
    </w:p>
    <w:p>
      <w:r>
        <w:t>Apply this process to organization-managed assets and to third-party services where contracts provide vulnerability-management obligations or assurance rights. Before use, maintain an asset inventory, assign accountable owners, identify critical business services, and define approved scanning and testing methods.</w:t>
      </w:r>
    </w:p>
    <w:p>
      <w:r>
        <w:t>Out of scope: vulnerabilities in assets the organization neither owns nor controls should be tracked as supplier risks and routed through vendor management. Emergency exploitation may require incident-response handling in parallel.</w:t>
      </w:r>
    </w:p>
    <w:p>
      <w:pPr>
        <w:pStyle w:val="Heading1"/>
      </w:pPr>
      <w:r>
        <w:t>3. Roles and responsibilities</w:t>
      </w:r>
    </w:p>
    <w:tbl>
      <w:tblPr>
        <w:tblStyle w:val="TableGrid"/>
        <w:tblW w:type="auto" w:w="0"/>
        <w:jc w:val="center"/>
        <w:tblLook w:firstColumn="1" w:firstRow="1" w:lastColumn="0" w:lastRow="0" w:noHBand="0" w:noVBand="1" w:val="04A0"/>
      </w:tblPr>
      <w:tblGrid>
        <w:gridCol w:w="4680"/>
        <w:gridCol w:w="4680"/>
      </w:tblGrid>
      <w:tr>
        <w:tc>
          <w:tcPr>
            <w:tcW w:type="dxa" w:w="4680"/>
            <w:vAlign w:val="center"/>
          </w:tcPr>
          <w:p>
            <w:r>
              <w:rPr>
                <w:b/>
              </w:rPr>
              <w:t>Role</w:t>
            </w:r>
          </w:p>
        </w:tc>
        <w:tc>
          <w:tcPr>
            <w:tcW w:type="dxa" w:w="4680"/>
            <w:vAlign w:val="center"/>
          </w:tcPr>
          <w:p>
            <w:r>
              <w:rPr>
                <w:b/>
              </w:rPr>
              <w:t>Minimum responsibility</w:t>
            </w:r>
          </w:p>
        </w:tc>
      </w:tr>
      <w:tr>
        <w:tc>
          <w:tcPr>
            <w:tcW w:type="dxa" w:w="4680"/>
            <w:vAlign w:val="top"/>
          </w:tcPr>
          <w:p>
            <w:r>
              <w:t>Security/Vulnerability Management</w:t>
            </w:r>
          </w:p>
        </w:tc>
        <w:tc>
          <w:tcPr>
            <w:tcW w:type="dxa" w:w="4680"/>
            <w:vAlign w:val="top"/>
          </w:tcPr>
          <w:p>
            <w:r>
              <w:t>Validate findings; assign severity and due dates; track, verify, report, and escalate.</w:t>
            </w:r>
          </w:p>
        </w:tc>
      </w:tr>
      <w:tr>
        <w:tc>
          <w:tcPr>
            <w:tcW w:type="dxa" w:w="4680"/>
            <w:vAlign w:val="top"/>
          </w:tcPr>
          <w:p>
            <w:r>
              <w:t>Asset or System Owner</w:t>
            </w:r>
          </w:p>
        </w:tc>
        <w:tc>
          <w:tcPr>
            <w:tcW w:type="dxa" w:w="4680"/>
            <w:vAlign w:val="top"/>
          </w:tcPr>
          <w:p>
            <w:r>
              <w:t>Own remediation plan, resources, maintenance window, and closure evidence.</w:t>
            </w:r>
          </w:p>
        </w:tc>
      </w:tr>
      <w:tr>
        <w:tc>
          <w:tcPr>
            <w:tcW w:type="dxa" w:w="4680"/>
            <w:vAlign w:val="top"/>
          </w:tcPr>
          <w:p>
            <w:r>
              <w:t>IT/Engineering</w:t>
            </w:r>
          </w:p>
        </w:tc>
        <w:tc>
          <w:tcPr>
            <w:tcW w:type="dxa" w:w="4680"/>
            <w:vAlign w:val="top"/>
          </w:tcPr>
          <w:p>
            <w:r>
              <w:t>Patch, reconfigure, mitigate, test, and document implementation.</w:t>
            </w:r>
          </w:p>
        </w:tc>
      </w:tr>
      <w:tr>
        <w:tc>
          <w:tcPr>
            <w:tcW w:type="dxa" w:w="4680"/>
            <w:vAlign w:val="top"/>
          </w:tcPr>
          <w:p>
            <w:r>
              <w:t>Risk or Compliance</w:t>
            </w:r>
          </w:p>
        </w:tc>
        <w:tc>
          <w:tcPr>
            <w:tcW w:type="dxa" w:w="4680"/>
            <w:vAlign w:val="top"/>
          </w:tcPr>
          <w:p>
            <w:r>
              <w:t>Review exceptions, monitor aggregate exposure, and preserve evidence.</w:t>
            </w:r>
          </w:p>
        </w:tc>
      </w:tr>
      <w:tr>
        <w:tc>
          <w:tcPr>
            <w:tcW w:type="dxa" w:w="4680"/>
            <w:vAlign w:val="top"/>
          </w:tcPr>
          <w:p>
            <w:r>
              <w:t>Business Owner</w:t>
            </w:r>
          </w:p>
        </w:tc>
        <w:tc>
          <w:tcPr>
            <w:tcW w:type="dxa" w:w="4680"/>
            <w:vAlign w:val="top"/>
          </w:tcPr>
          <w:p>
            <w:r>
              <w:t>Approve service-impact tradeoffs and medium/high residual risk as authorized.</w:t>
            </w:r>
          </w:p>
        </w:tc>
      </w:tr>
      <w:tr>
        <w:tc>
          <w:tcPr>
            <w:tcW w:type="dxa" w:w="4680"/>
            <w:vAlign w:val="top"/>
          </w:tcPr>
          <w:p>
            <w:r>
              <w:t>Executive/Risk Committee</w:t>
            </w:r>
          </w:p>
        </w:tc>
        <w:tc>
          <w:tcPr>
            <w:tcW w:type="dxa" w:w="4680"/>
            <w:vAlign w:val="top"/>
          </w:tcPr>
          <w:p>
            <w:r>
              <w:t>Approve critical or material exceptions and address persistent overdue risk.</w:t>
            </w:r>
          </w:p>
        </w:tc>
      </w:tr>
    </w:tbl>
    <w:p/>
    <w:p>
      <w:pPr>
        <w:pStyle w:val="Heading1"/>
      </w:pPr>
      <w:r>
        <w:t>4. Severity and remediation targets</w:t>
      </w:r>
    </w:p>
    <w:p>
      <w:r>
        <w:t>Base severity on a recognized technical score, then adjust for business context, current threat conditions, and exploitability. Record both the technical severity and the final risk priority. Never lower a priority without documenting the rationale. Do not shorten every SLA simply because AI exists; accelerate timelines when evidence shows faster or more likely exploitation.</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1296"/>
            <w:vAlign w:val="center"/>
          </w:tcPr>
          <w:p>
            <w:r>
              <w:rPr>
                <w:b/>
              </w:rPr>
              <w:t>Priority</w:t>
            </w:r>
          </w:p>
        </w:tc>
        <w:tc>
          <w:tcPr>
            <w:tcW w:type="dxa" w:w="4032"/>
            <w:vAlign w:val="center"/>
          </w:tcPr>
          <w:p>
            <w:r>
              <w:rPr>
                <w:b/>
              </w:rPr>
              <w:t>Typical criteria</w:t>
            </w:r>
          </w:p>
        </w:tc>
        <w:tc>
          <w:tcPr>
            <w:tcW w:type="dxa" w:w="1872"/>
            <w:vAlign w:val="center"/>
          </w:tcPr>
          <w:p>
            <w:r>
              <w:rPr>
                <w:b/>
              </w:rPr>
              <w:t>Target from validation</w:t>
            </w:r>
          </w:p>
        </w:tc>
        <w:tc>
          <w:tcPr>
            <w:tcW w:type="dxa" w:w="2304"/>
            <w:vAlign w:val="center"/>
          </w:tcPr>
          <w:p>
            <w:r>
              <w:rPr>
                <w:b/>
              </w:rPr>
              <w:t>Required cadence</w:t>
            </w:r>
          </w:p>
        </w:tc>
      </w:tr>
      <w:tr>
        <w:tc>
          <w:tcPr>
            <w:tcW w:type="dxa" w:w="1296"/>
            <w:vAlign w:val="top"/>
          </w:tcPr>
          <w:p>
            <w:r>
              <w:t>Critical / P1</w:t>
            </w:r>
          </w:p>
        </w:tc>
        <w:tc>
          <w:tcPr>
            <w:tcW w:type="dxa" w:w="4032"/>
            <w:vAlign w:val="top"/>
          </w:tcPr>
          <w:p>
            <w:r>
              <w:t>Known exploitation; internet-exposed critical weakness; active automated or AI-assisted exploitation path; or credible path to material impact</w:t>
            </w:r>
          </w:p>
        </w:tc>
        <w:tc>
          <w:tcPr>
            <w:tcW w:type="dxa" w:w="1872"/>
            <w:vAlign w:val="top"/>
          </w:tcPr>
          <w:p>
            <w:r>
              <w:t>24-72 hours when active exploitation or rapid weaponization is credible; otherwise 72 hours or organization-approved shorter period</w:t>
            </w:r>
          </w:p>
        </w:tc>
        <w:tc>
          <w:tcPr>
            <w:tcW w:type="dxa" w:w="2304"/>
            <w:vAlign w:val="top"/>
          </w:tcPr>
          <w:p>
            <w:r>
              <w:t>Daily until contained; executive escalation if overdue</w:t>
            </w:r>
          </w:p>
        </w:tc>
      </w:tr>
      <w:tr>
        <w:tc>
          <w:tcPr>
            <w:tcW w:type="dxa" w:w="1296"/>
            <w:vAlign w:val="top"/>
          </w:tcPr>
          <w:p>
            <w:r>
              <w:t>High / P2</w:t>
            </w:r>
          </w:p>
        </w:tc>
        <w:tc>
          <w:tcPr>
            <w:tcW w:type="dxa" w:w="4032"/>
            <w:vAlign w:val="top"/>
          </w:tcPr>
          <w:p>
            <w:r>
              <w:t>High likelihood and impact, privileged path, sensitive-data exposure, critical asset affected, or exploit code/automation materially increasing likelihood</w:t>
            </w:r>
          </w:p>
        </w:tc>
        <w:tc>
          <w:tcPr>
            <w:tcW w:type="dxa" w:w="1872"/>
            <w:vAlign w:val="top"/>
          </w:tcPr>
          <w:p>
            <w:r>
              <w:t>15 calendar days; accelerate when external exposure, exploit maturity, or automation materially increases risk</w:t>
            </w:r>
          </w:p>
        </w:tc>
        <w:tc>
          <w:tcPr>
            <w:tcW w:type="dxa" w:w="2304"/>
            <w:vAlign w:val="top"/>
          </w:tcPr>
          <w:p>
            <w:r>
              <w:t>At least weekly</w:t>
            </w:r>
          </w:p>
        </w:tc>
      </w:tr>
      <w:tr>
        <w:tc>
          <w:tcPr>
            <w:tcW w:type="dxa" w:w="1296"/>
            <w:vAlign w:val="top"/>
          </w:tcPr>
          <w:p>
            <w:r>
              <w:t>Medium / P3</w:t>
            </w:r>
          </w:p>
        </w:tc>
        <w:tc>
          <w:tcPr>
            <w:tcW w:type="dxa" w:w="4032"/>
            <w:vAlign w:val="top"/>
          </w:tcPr>
          <w:p>
            <w:r>
              <w:t>Meaningful weakness with limited exposure or prerequisites that reduce likelihood</w:t>
            </w:r>
          </w:p>
        </w:tc>
        <w:tc>
          <w:tcPr>
            <w:tcW w:type="dxa" w:w="1872"/>
            <w:vAlign w:val="top"/>
          </w:tcPr>
          <w:p>
            <w:r>
              <w:t>45 calendar days</w:t>
            </w:r>
          </w:p>
        </w:tc>
        <w:tc>
          <w:tcPr>
            <w:tcW w:type="dxa" w:w="2304"/>
            <w:vAlign w:val="top"/>
          </w:tcPr>
          <w:p>
            <w:r>
              <w:t>At least biweekly</w:t>
            </w:r>
          </w:p>
        </w:tc>
      </w:tr>
      <w:tr>
        <w:tc>
          <w:tcPr>
            <w:tcW w:type="dxa" w:w="1296"/>
            <w:vAlign w:val="top"/>
          </w:tcPr>
          <w:p>
            <w:r>
              <w:t>Low / P4</w:t>
            </w:r>
          </w:p>
        </w:tc>
        <w:tc>
          <w:tcPr>
            <w:tcW w:type="dxa" w:w="4032"/>
            <w:vAlign w:val="top"/>
          </w:tcPr>
          <w:p>
            <w:r>
              <w:t>Limited likelihood or impact; defense-in-depth improvement</w:t>
            </w:r>
          </w:p>
        </w:tc>
        <w:tc>
          <w:tcPr>
            <w:tcW w:type="dxa" w:w="1872"/>
            <w:vAlign w:val="top"/>
          </w:tcPr>
          <w:p>
            <w:r>
              <w:t>90 calendar days</w:t>
            </w:r>
          </w:p>
        </w:tc>
        <w:tc>
          <w:tcPr>
            <w:tcW w:type="dxa" w:w="2304"/>
            <w:vAlign w:val="top"/>
          </w:tcPr>
          <w:p>
            <w:r>
              <w:t>At least monthly</w:t>
            </w:r>
          </w:p>
        </w:tc>
      </w:tr>
      <w:tr>
        <w:tc>
          <w:tcPr>
            <w:tcW w:type="dxa" w:w="1296"/>
            <w:vAlign w:val="top"/>
          </w:tcPr>
          <w:p>
            <w:r>
              <w:t>Informational</w:t>
            </w:r>
          </w:p>
        </w:tc>
        <w:tc>
          <w:tcPr>
            <w:tcW w:type="dxa" w:w="4032"/>
            <w:vAlign w:val="top"/>
          </w:tcPr>
          <w:p>
            <w:r>
              <w:t>Observation, inventory issue, or improvement opportunity without a verified vulnerability</w:t>
            </w:r>
          </w:p>
        </w:tc>
        <w:tc>
          <w:tcPr>
            <w:tcW w:type="dxa" w:w="1872"/>
            <w:vAlign w:val="top"/>
          </w:tcPr>
          <w:p>
            <w:r>
              <w:t>Risk-based backlog</w:t>
            </w:r>
          </w:p>
        </w:tc>
        <w:tc>
          <w:tcPr>
            <w:tcW w:type="dxa" w:w="2304"/>
            <w:vAlign w:val="top"/>
          </w:tcPr>
          <w:p>
            <w:r>
              <w:t>Quarterly review</w:t>
            </w:r>
          </w:p>
        </w:tc>
      </w:tr>
    </w:tbl>
    <w:p/>
    <w:p>
      <w:r>
        <w:t>Tailoring factors: active exploitation (including CISA Known Exploited Vulnerabilities), asset criticality, external exposure, data sensitivity, privilege required, exploit maturity, reachability, compensating controls, concentration of similar findings, automated exploitation capability, and credible AI-assisted exploitation indicators.</w:t>
      </w:r>
    </w:p>
    <w:p>
      <w:r>
        <w:t>AI-enabled exploitation guidance: Standard remediation SLAs may be accelerated when threat intelligence, exploit availability, automated exploitation capability, active exploitation, or AI-assisted attack techniques materially increase the likelihood or speed of compromise. This is a risk-based escalation trigger, not a blanket replacement for the normal SLA model.</w:t>
      </w:r>
    </w:p>
    <w:p>
      <w:pPr>
        <w:pStyle w:val="Heading1"/>
      </w:pPr>
      <w:r>
        <w:t>5. Operating procedure</w:t>
      </w:r>
    </w:p>
    <w:p>
      <w:r>
        <w:rPr>
          <w:b/>
        </w:rPr>
        <w:t>1. Discover and ingest:</w:t>
      </w:r>
      <w:r>
        <w:t xml:space="preserve"> Record scanner, penetration-test, disclosure, audit, supplier, or threat-intelligence findings in the authorized tracking system.</w:t>
      </w:r>
    </w:p>
    <w:p>
      <w:r>
        <w:rPr>
          <w:b/>
        </w:rPr>
        <w:t>2. Validate:</w:t>
      </w:r>
      <w:r>
        <w:t xml:space="preserve"> Confirm the asset, owner, version, evidence, reachability, and whether the finding is a false positive. Start the SLA clock on validation unless policy sets an earlier trigger.</w:t>
      </w:r>
    </w:p>
    <w:p>
      <w:r>
        <w:t>3. Prioritize: Assign technical severity, business context, threat context, final priority, due date, and required escalation level. Consider whether exploit code, automation, active exploitation, or AI-assisted techniques justify an accelerated due date.</w:t>
      </w:r>
    </w:p>
    <w:p>
      <w:r>
        <w:rPr>
          <w:b/>
        </w:rPr>
        <w:t>4. Assign and plan:</w:t>
      </w:r>
      <w:r>
        <w:t xml:space="preserve"> Name one accountable owner. Record the remediation action, test method, dependencies, maintenance window, and planned completion date.</w:t>
      </w:r>
    </w:p>
    <w:p>
      <w:r>
        <w:t>5. Contain when needed: For urgent exposure or rapidly weaponized vulnerabilities, disable the service, restrict access, isolate the asset, block indicators, remove privileges, increase monitoring, or apply a vendor mitigation while the permanent fix is prepared.</w:t>
      </w:r>
    </w:p>
    <w:p>
      <w:r>
        <w:rPr>
          <w:b/>
        </w:rPr>
        <w:t>6. Remediate and test:</w:t>
      </w:r>
      <w:r>
        <w:t xml:space="preserve"> Patch, upgrade, reconfigure, replace, or remove the affected component. Test for service stability and control effectiveness.</w:t>
      </w:r>
    </w:p>
    <w:p>
      <w:r>
        <w:rPr>
          <w:b/>
        </w:rPr>
        <w:t>7. Verify independently:</w:t>
      </w:r>
      <w:r>
        <w:t xml:space="preserve"> Rescan or otherwise reproduce the original test. Closure requires evidence that the vulnerable condition is no longer present; implementation claims alone are insufficient.</w:t>
      </w:r>
    </w:p>
    <w:p>
      <w:r>
        <w:rPr>
          <w:b/>
        </w:rPr>
        <w:t>8. Close or except:</w:t>
      </w:r>
      <w:r>
        <w:t xml:space="preserve"> Close with verification evidence, or complete the exception process before the due date. Reopen any finding that fails verification.</w:t>
      </w:r>
    </w:p>
    <w:p>
      <w:pPr>
        <w:pStyle w:val="Heading1"/>
      </w:pPr>
      <w:r>
        <w:t>6. Escalation rules</w:t>
      </w:r>
    </w:p>
    <w:tbl>
      <w:tblPr>
        <w:tblStyle w:val="TableGrid"/>
        <w:tblW w:type="auto" w:w="0"/>
        <w:jc w:val="center"/>
        <w:tblLook w:firstColumn="1" w:firstRow="1" w:lastColumn="0" w:lastRow="0" w:noHBand="0" w:noVBand="1" w:val="04A0"/>
      </w:tblPr>
      <w:tblGrid>
        <w:gridCol w:w="4680"/>
        <w:gridCol w:w="4680"/>
      </w:tblGrid>
      <w:tr>
        <w:tc>
          <w:tcPr>
            <w:tcW w:type="dxa" w:w="4680"/>
            <w:vAlign w:val="center"/>
          </w:tcPr>
          <w:p>
            <w:r>
              <w:rPr>
                <w:b/>
              </w:rPr>
              <w:t>Trigger</w:t>
            </w:r>
          </w:p>
        </w:tc>
        <w:tc>
          <w:tcPr>
            <w:tcW w:type="dxa" w:w="4680"/>
            <w:vAlign w:val="center"/>
          </w:tcPr>
          <w:p>
            <w:r>
              <w:rPr>
                <w:b/>
              </w:rPr>
              <w:t>Escalation action</w:t>
            </w:r>
          </w:p>
        </w:tc>
      </w:tr>
      <w:tr>
        <w:tc>
          <w:tcPr>
            <w:tcW w:type="dxa" w:w="4680"/>
            <w:vAlign w:val="top"/>
          </w:tcPr>
          <w:p>
            <w:r>
              <w:t>Critical finding validated</w:t>
            </w:r>
          </w:p>
        </w:tc>
        <w:tc>
          <w:tcPr>
            <w:tcW w:type="dxa" w:w="4680"/>
            <w:vAlign w:val="top"/>
          </w:tcPr>
          <w:p>
            <w:r>
              <w:t>Notify Security, asset owner, business owner, and incident-response lead immediately; assess active compromise.</w:t>
            </w:r>
          </w:p>
        </w:tc>
      </w:tr>
      <w:tr>
        <w:tc>
          <w:tcPr>
            <w:tcW w:type="dxa" w:w="4680"/>
            <w:vAlign w:val="top"/>
          </w:tcPr>
          <w:p>
            <w:r>
              <w:t>50% of SLA elapsed without an approved plan</w:t>
            </w:r>
          </w:p>
        </w:tc>
        <w:tc>
          <w:tcPr>
            <w:tcW w:type="dxa" w:w="4680"/>
            <w:vAlign w:val="top"/>
          </w:tcPr>
          <w:p>
            <w:r>
              <w:t>Notify owner and manager; require dated plan and resource confirmation.</w:t>
            </w:r>
          </w:p>
        </w:tc>
      </w:tr>
      <w:tr>
        <w:tc>
          <w:tcPr>
            <w:tcW w:type="dxa" w:w="4680"/>
            <w:vAlign w:val="top"/>
          </w:tcPr>
          <w:p>
            <w:r>
              <w:t>Due date reached</w:t>
            </w:r>
          </w:p>
        </w:tc>
        <w:tc>
          <w:tcPr>
            <w:tcW w:type="dxa" w:w="4680"/>
            <w:vAlign w:val="top"/>
          </w:tcPr>
          <w:p>
            <w:r>
              <w:t>Mark overdue; notify owner, manager, Security, and Risk/Compliance.</w:t>
            </w:r>
          </w:p>
        </w:tc>
      </w:tr>
      <w:tr>
        <w:tc>
          <w:tcPr>
            <w:tcW w:type="dxa" w:w="4680"/>
            <w:vAlign w:val="top"/>
          </w:tcPr>
          <w:p>
            <w:r>
              <w:t>Critical/High overdue or material service affected</w:t>
            </w:r>
          </w:p>
        </w:tc>
        <w:tc>
          <w:tcPr>
            <w:tcW w:type="dxa" w:w="4680"/>
            <w:vAlign w:val="top"/>
          </w:tcPr>
          <w:p>
            <w:r>
              <w:t>Escalate to the authorized executive or risk committee; consider containment or service restriction.</w:t>
            </w:r>
          </w:p>
        </w:tc>
      </w:tr>
      <w:tr>
        <w:tc>
          <w:tcPr>
            <w:tcW w:type="dxa" w:w="4680"/>
            <w:vAlign w:val="top"/>
          </w:tcPr>
          <w:p>
            <w:r>
              <w:t>Repeated overdue performance</w:t>
            </w:r>
          </w:p>
        </w:tc>
        <w:tc>
          <w:tcPr>
            <w:tcW w:type="dxa" w:w="4680"/>
            <w:vAlign w:val="top"/>
          </w:tcPr>
          <w:p>
            <w:r>
              <w:t>Open a systemic corrective action covering staffing, tooling, architecture, or change-management constraints.</w:t>
            </w:r>
          </w:p>
        </w:tc>
      </w:tr>
      <w:tr>
        <w:tc>
          <w:tcPr>
            <w:tcW w:type="dxa" w:w="4680"/>
          </w:tcPr>
          <w:p>
            <w:r>
              <w:t>Automated exploitation or AI-assisted attack indicators emerge</w:t>
            </w:r>
          </w:p>
        </w:tc>
        <w:tc>
          <w:tcPr>
            <w:tcW w:type="dxa" w:w="4680"/>
          </w:tcPr>
          <w:p>
            <w:r>
              <w:t>Reassess priority and due date within one business day; accelerate remediation or require documented containment when likelihood or speed of compromise materially increases.</w:t>
            </w:r>
          </w:p>
        </w:tc>
      </w:tr>
    </w:tbl>
    <w:p/>
    <w:p>
      <w:pPr>
        <w:pStyle w:val="Heading1"/>
      </w:pPr>
      <w:r>
        <w:t>7. Vulnerability tracker</w:t>
      </w:r>
    </w:p>
    <w:p>
      <w:r>
        <w:t>Maintain one row per validated vulnerability or approved grouping. Group only findings with the same owner, affected technology, remediation action, priority, and due date.</w:t>
      </w:r>
    </w:p>
    <w:tbl>
      <w:tblPr>
        <w:tblStyle w:val="TableGrid"/>
        <w:tblW w:type="auto" w:w="0"/>
        <w:jc w:val="center"/>
        <w:tblLook w:firstColumn="1" w:firstRow="1" w:lastColumn="0" w:lastRow="0" w:noHBand="0" w:noVBand="1" w:val="04A0"/>
      </w:tblPr>
      <w:tblGrid>
        <w:gridCol w:w="1170"/>
        <w:gridCol w:w="1170"/>
        <w:gridCol w:w="1170"/>
        <w:gridCol w:w="1170"/>
        <w:gridCol w:w="1170"/>
        <w:gridCol w:w="1170"/>
        <w:gridCol w:w="1170"/>
        <w:gridCol w:w="1170"/>
      </w:tblGrid>
      <w:tr>
        <w:tc>
          <w:tcPr>
            <w:tcW w:type="dxa" w:w="1170"/>
            <w:vAlign w:val="center"/>
          </w:tcPr>
          <w:p>
            <w:r>
              <w:rPr>
                <w:b/>
              </w:rPr>
              <w:t>ID</w:t>
            </w:r>
          </w:p>
        </w:tc>
        <w:tc>
          <w:tcPr>
            <w:tcW w:type="dxa" w:w="1170"/>
            <w:vAlign w:val="center"/>
          </w:tcPr>
          <w:p>
            <w:r>
              <w:rPr>
                <w:b/>
              </w:rPr>
              <w:t>Finding / CVE</w:t>
            </w:r>
          </w:p>
        </w:tc>
        <w:tc>
          <w:tcPr>
            <w:tcW w:type="dxa" w:w="1170"/>
            <w:vAlign w:val="center"/>
          </w:tcPr>
          <w:p>
            <w:r>
              <w:rPr>
                <w:b/>
              </w:rPr>
              <w:t>Asset &amp; owner</w:t>
            </w:r>
          </w:p>
        </w:tc>
        <w:tc>
          <w:tcPr>
            <w:tcW w:type="dxa" w:w="1170"/>
            <w:vAlign w:val="center"/>
          </w:tcPr>
          <w:p>
            <w:r>
              <w:rPr>
                <w:b/>
              </w:rPr>
              <w:t>Priority</w:t>
            </w:r>
          </w:p>
        </w:tc>
        <w:tc>
          <w:tcPr>
            <w:tcW w:type="dxa" w:w="1170"/>
            <w:vAlign w:val="center"/>
          </w:tcPr>
          <w:p>
            <w:r>
              <w:rPr>
                <w:b/>
              </w:rPr>
              <w:t>Validated</w:t>
            </w:r>
          </w:p>
        </w:tc>
        <w:tc>
          <w:tcPr>
            <w:tcW w:type="dxa" w:w="1170"/>
            <w:vAlign w:val="center"/>
          </w:tcPr>
          <w:p>
            <w:r>
              <w:rPr>
                <w:b/>
              </w:rPr>
              <w:t>Due</w:t>
            </w:r>
          </w:p>
        </w:tc>
        <w:tc>
          <w:tcPr>
            <w:tcW w:type="dxa" w:w="1170"/>
            <w:vAlign w:val="center"/>
          </w:tcPr>
          <w:p>
            <w:r>
              <w:rPr>
                <w:b/>
              </w:rPr>
              <w:t>Status</w:t>
            </w:r>
          </w:p>
        </w:tc>
        <w:tc>
          <w:tcPr>
            <w:tcW w:type="dxa" w:w="1170"/>
            <w:vAlign w:val="center"/>
          </w:tcPr>
          <w:p>
            <w:r>
              <w:rPr>
                <w:b/>
              </w:rPr>
              <w:t>Evidence link</w:t>
            </w:r>
          </w:p>
        </w:tc>
      </w:tr>
      <w:tr>
        <w:tc>
          <w:tcPr>
            <w:tcW w:type="dxa" w:w="1170"/>
            <w:vAlign w:val="top"/>
          </w:tcPr>
          <w:p>
            <w:r>
              <w:t>VULN-[####]</w:t>
            </w:r>
          </w:p>
        </w:tc>
        <w:tc>
          <w:tcPr>
            <w:tcW w:type="dxa" w:w="1170"/>
            <w:vAlign w:val="top"/>
          </w:tcPr>
          <w:p>
            <w:r>
              <w:t>[Title / CVE]</w:t>
            </w:r>
          </w:p>
        </w:tc>
        <w:tc>
          <w:tcPr>
            <w:tcW w:type="dxa" w:w="1170"/>
            <w:vAlign w:val="top"/>
          </w:tcPr>
          <w:p>
            <w:r>
              <w:t>[Asset, environment, owner]</w:t>
            </w:r>
          </w:p>
        </w:tc>
        <w:tc>
          <w:tcPr>
            <w:tcW w:type="dxa" w:w="1170"/>
            <w:vAlign w:val="top"/>
          </w:tcPr>
          <w:p>
            <w:r>
              <w:t>[P1-P4]</w:t>
            </w:r>
          </w:p>
        </w:tc>
        <w:tc>
          <w:tcPr>
            <w:tcW w:type="dxa" w:w="1170"/>
            <w:vAlign w:val="top"/>
          </w:tcPr>
          <w:p>
            <w:r>
              <w:t>[Date]</w:t>
            </w:r>
          </w:p>
        </w:tc>
        <w:tc>
          <w:tcPr>
            <w:tcW w:type="dxa" w:w="1170"/>
            <w:vAlign w:val="top"/>
          </w:tcPr>
          <w:p>
            <w:r>
              <w:t>[Date]</w:t>
            </w:r>
          </w:p>
        </w:tc>
        <w:tc>
          <w:tcPr>
            <w:tcW w:type="dxa" w:w="1170"/>
            <w:vAlign w:val="top"/>
          </w:tcPr>
          <w:p>
            <w:r>
              <w:t>[Open / planned / verifying / closed / excepted]</w:t>
            </w:r>
          </w:p>
        </w:tc>
        <w:tc>
          <w:tcPr>
            <w:tcW w:type="dxa" w:w="1170"/>
            <w:vAlign w:val="top"/>
          </w:tcPr>
          <w:p>
            <w:r>
              <w:t>[Repository URL or record ID]</w:t>
            </w:r>
          </w:p>
        </w:tc>
      </w:tr>
      <w:tr>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r>
      <w:tr>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c>
          <w:tcPr>
            <w:tcW w:type="dxa" w:w="1170"/>
            <w:vAlign w:val="top"/>
          </w:tcPr>
          <w:p>
            <w:r/>
          </w:p>
        </w:tc>
      </w:tr>
    </w:tbl>
    <w:p/>
    <w:p>
      <w:pPr>
        <w:pStyle w:val="Heading1"/>
      </w:pPr>
      <w:r>
        <w:t>8. Exception request and risk acceptance</w:t>
      </w:r>
    </w:p>
    <w:p>
      <w:r>
        <w:t>Submit an exception before the remediation due date. An exception does not close the vulnerability; it authorizes temporary residual risk under stated conditions.</w:t>
      </w:r>
    </w:p>
    <w:tbl>
      <w:tblPr>
        <w:tblStyle w:val="TableGrid"/>
        <w:tblW w:type="auto" w:w="0"/>
        <w:jc w:val="center"/>
        <w:tblLook w:firstColumn="1" w:firstRow="1" w:lastColumn="0" w:lastRow="0" w:noHBand="0" w:noVBand="1" w:val="04A0"/>
      </w:tblPr>
      <w:tblGrid>
        <w:gridCol w:w="4680"/>
        <w:gridCol w:w="4680"/>
      </w:tblGrid>
      <w:tr>
        <w:tc>
          <w:tcPr>
            <w:tcW w:type="dxa" w:w="4680"/>
            <w:vAlign w:val="center"/>
          </w:tcPr>
          <w:p>
            <w:r>
              <w:rPr>
                <w:b/>
              </w:rPr>
              <w:t>Field</w:t>
            </w:r>
          </w:p>
        </w:tc>
        <w:tc>
          <w:tcPr>
            <w:tcW w:type="dxa" w:w="4680"/>
            <w:vAlign w:val="center"/>
          </w:tcPr>
          <w:p>
            <w:r>
              <w:rPr>
                <w:b/>
              </w:rPr>
              <w:t>Required entry</w:t>
            </w:r>
          </w:p>
        </w:tc>
      </w:tr>
      <w:tr>
        <w:tc>
          <w:tcPr>
            <w:tcW w:type="dxa" w:w="4680"/>
            <w:vAlign w:val="top"/>
          </w:tcPr>
          <w:p>
            <w:r>
              <w:t>Exception ID / vulnerability ID</w:t>
            </w:r>
          </w:p>
        </w:tc>
        <w:tc>
          <w:tcPr>
            <w:tcW w:type="dxa" w:w="4680"/>
            <w:vAlign w:val="top"/>
          </w:tcPr>
          <w:p>
            <w:r>
              <w:t>[EXC-#### / VULN-####]</w:t>
            </w:r>
          </w:p>
        </w:tc>
      </w:tr>
      <w:tr>
        <w:tc>
          <w:tcPr>
            <w:tcW w:type="dxa" w:w="4680"/>
            <w:vAlign w:val="top"/>
          </w:tcPr>
          <w:p>
            <w:r>
              <w:t>Affected assets and business service</w:t>
            </w:r>
          </w:p>
        </w:tc>
        <w:tc>
          <w:tcPr>
            <w:tcW w:type="dxa" w:w="4680"/>
            <w:vAlign w:val="top"/>
          </w:tcPr>
          <w:p>
            <w:r>
              <w:t>[Exact systems, environments, owners, and criticality]</w:t>
            </w:r>
          </w:p>
        </w:tc>
      </w:tr>
      <w:tr>
        <w:tc>
          <w:tcPr>
            <w:tcW w:type="dxa" w:w="4680"/>
            <w:vAlign w:val="top"/>
          </w:tcPr>
          <w:p>
            <w:r>
              <w:t>Reason remediation cannot meet SLA</w:t>
            </w:r>
          </w:p>
        </w:tc>
        <w:tc>
          <w:tcPr>
            <w:tcW w:type="dxa" w:w="4680"/>
            <w:vAlign w:val="top"/>
          </w:tcPr>
          <w:p>
            <w:r>
              <w:t>[Technical or business constraint; attach supporting evidence]</w:t>
            </w:r>
          </w:p>
        </w:tc>
      </w:tr>
      <w:tr>
        <w:tc>
          <w:tcPr>
            <w:tcW w:type="dxa" w:w="4680"/>
            <w:vAlign w:val="top"/>
          </w:tcPr>
          <w:p>
            <w:r>
              <w:t>Threat and business impact</w:t>
            </w:r>
          </w:p>
        </w:tc>
        <w:tc>
          <w:tcPr>
            <w:tcW w:type="dxa" w:w="4680"/>
            <w:vAlign w:val="top"/>
          </w:tcPr>
          <w:p>
            <w:r>
              <w:t>[Likely exploitation path, including known exploit code, automated or AI-assisted exploitation potential, data/service impact, and affected obligations]</w:t>
            </w:r>
          </w:p>
        </w:tc>
      </w:tr>
      <w:tr>
        <w:tc>
          <w:tcPr>
            <w:tcW w:type="dxa" w:w="4680"/>
            <w:vAlign w:val="top"/>
          </w:tcPr>
          <w:p>
            <w:r>
              <w:t>Compensating controls</w:t>
            </w:r>
          </w:p>
        </w:tc>
        <w:tc>
          <w:tcPr>
            <w:tcW w:type="dxa" w:w="4680"/>
            <w:vAlign w:val="top"/>
          </w:tcPr>
          <w:p>
            <w:r>
              <w:t>[Specific controls, control owners, monitoring, and evidence]</w:t>
            </w:r>
          </w:p>
        </w:tc>
      </w:tr>
      <w:tr>
        <w:tc>
          <w:tcPr>
            <w:tcW w:type="dxa" w:w="4680"/>
            <w:vAlign w:val="top"/>
          </w:tcPr>
          <w:p>
            <w:r>
              <w:t>Residual risk rating</w:t>
            </w:r>
          </w:p>
        </w:tc>
        <w:tc>
          <w:tcPr>
            <w:tcW w:type="dxa" w:w="4680"/>
            <w:vAlign w:val="top"/>
          </w:tcPr>
          <w:p>
            <w:r>
              <w:t>[Rating and rationale after compensating controls]</w:t>
            </w:r>
          </w:p>
        </w:tc>
      </w:tr>
      <w:tr>
        <w:tc>
          <w:tcPr>
            <w:tcW w:type="dxa" w:w="4680"/>
            <w:vAlign w:val="top"/>
          </w:tcPr>
          <w:p>
            <w:r>
              <w:t>Remediation plan and milestones</w:t>
            </w:r>
          </w:p>
        </w:tc>
        <w:tc>
          <w:tcPr>
            <w:tcW w:type="dxa" w:w="4680"/>
            <w:vAlign w:val="top"/>
          </w:tcPr>
          <w:p>
            <w:r>
              <w:t>[Actions, accountable owner, dates, dependencies]</w:t>
            </w:r>
          </w:p>
        </w:tc>
      </w:tr>
      <w:tr>
        <w:tc>
          <w:tcPr>
            <w:tcW w:type="dxa" w:w="4680"/>
            <w:vAlign w:val="top"/>
          </w:tcPr>
          <w:p>
            <w:r>
              <w:t>Requested expiration</w:t>
            </w:r>
          </w:p>
        </w:tc>
        <w:tc>
          <w:tcPr>
            <w:tcW w:type="dxa" w:w="4680"/>
            <w:vAlign w:val="top"/>
          </w:tcPr>
          <w:p>
            <w:r>
              <w:t>[Date; no automatic renewal]</w:t>
            </w:r>
          </w:p>
        </w:tc>
      </w:tr>
      <w:tr>
        <w:tc>
          <w:tcPr>
            <w:tcW w:type="dxa" w:w="4680"/>
            <w:vAlign w:val="top"/>
          </w:tcPr>
          <w:p>
            <w:r>
              <w:t>Approvals</w:t>
            </w:r>
          </w:p>
        </w:tc>
        <w:tc>
          <w:tcPr>
            <w:tcW w:type="dxa" w:w="4680"/>
            <w:vAlign w:val="top"/>
          </w:tcPr>
          <w:p>
            <w:r>
              <w:t>[Security, asset/business owner, Risk, and executive as required]</w:t>
            </w:r>
          </w:p>
        </w:tc>
      </w:tr>
    </w:tbl>
    <w:p/>
    <w:p>
      <w:pPr>
        <w:pStyle w:val="Heading1"/>
      </w:pPr>
      <w:r>
        <w:t>9. Exception decision checklist</w:t>
      </w:r>
    </w:p>
    <w:p>
      <w:pPr>
        <w:pStyle w:val="ListBullet"/>
      </w:pPr>
      <w:r>
        <w:t>The affected scope is specific and complete.</w:t>
      </w:r>
    </w:p>
    <w:p>
      <w:pPr>
        <w:pStyle w:val="ListBullet"/>
      </w:pPr>
      <w:r>
        <w:t>The risk rationale addresses likelihood, impact, exposure, exploitability, exploit maturity, and any credible automation or AI-assisted exploitation indicators.</w:t>
      </w:r>
    </w:p>
    <w:p>
      <w:pPr>
        <w:pStyle w:val="ListBullet"/>
      </w:pPr>
      <w:r>
        <w:t>Compensating controls are active, owned, monitored, and evidenced.</w:t>
      </w:r>
    </w:p>
    <w:p>
      <w:pPr>
        <w:pStyle w:val="ListBullet"/>
      </w:pPr>
      <w:r>
        <w:t>The proposed expiration is the shortest practical period.</w:t>
      </w:r>
    </w:p>
    <w:p>
      <w:pPr>
        <w:pStyle w:val="ListBullet"/>
      </w:pPr>
      <w:r>
        <w:t>The remediation plan includes milestones, resources, and a permanent fix.</w:t>
      </w:r>
    </w:p>
    <w:p>
      <w:pPr>
        <w:pStyle w:val="ListBullet"/>
      </w:pPr>
      <w:r>
        <w:t>Legal, contractual, insurance, and regulatory constraints were considered.</w:t>
      </w:r>
    </w:p>
    <w:p>
      <w:pPr>
        <w:pStyle w:val="ListBullet"/>
      </w:pPr>
      <w:r>
        <w:t>The approver has authority for the documented residual risk.</w:t>
      </w:r>
    </w:p>
    <w:p>
      <w:r>
        <w:t>Decision: ☐ Approved  ☐ Approved with conditions  ☐ Rejected</w:t>
      </w:r>
    </w:p>
    <w:p>
      <w:r>
        <w:t>Conditions / rationale: ______________________________________________________________</w:t>
      </w:r>
    </w:p>
    <w:p>
      <w:r>
        <w:t>Approver and date: _________________________________________________________________</w:t>
      </w:r>
    </w:p>
    <w:p>
      <w:pPr>
        <w:pStyle w:val="Heading1"/>
      </w:pPr>
      <w:r>
        <w:t>10. Closure evidence checklist</w:t>
      </w:r>
    </w:p>
    <w:p>
      <w:pPr>
        <w:pStyle w:val="ListBullet"/>
      </w:pPr>
      <w:r>
        <w:t>Original finding and affected asset identifiers</w:t>
      </w:r>
    </w:p>
    <w:p>
      <w:pPr>
        <w:pStyle w:val="ListBullet"/>
      </w:pPr>
      <w:r>
        <w:t>Change, patch, deployment, or configuration record</w:t>
      </w:r>
    </w:p>
    <w:p>
      <w:pPr>
        <w:pStyle w:val="ListBullet"/>
      </w:pPr>
      <w:r>
        <w:t>Post-change test or rescan result showing remediation</w:t>
      </w:r>
    </w:p>
    <w:p>
      <w:pPr>
        <w:pStyle w:val="ListBullet"/>
      </w:pPr>
      <w:r>
        <w:t>Reviewer name and verification date</w:t>
      </w:r>
    </w:p>
    <w:p>
      <w:pPr>
        <w:pStyle w:val="ListBullet"/>
      </w:pPr>
      <w:r>
        <w:t>Evidence repository link and retention classification</w:t>
      </w:r>
    </w:p>
    <w:p>
      <w:pPr>
        <w:pStyle w:val="ListBullet"/>
      </w:pPr>
      <w:r>
        <w:t>For accepted risk: approval, compensating-control evidence, and expiration date</w:t>
      </w:r>
    </w:p>
    <w:p>
      <w:pPr>
        <w:pStyle w:val="Heading1"/>
      </w:pPr>
      <w:r>
        <w:t>11. Metrics and management reporting</w:t>
      </w:r>
    </w:p>
    <w:tbl>
      <w:tblPr>
        <w:tblStyle w:val="TableGrid"/>
        <w:tblW w:type="auto" w:w="0"/>
        <w:jc w:val="center"/>
        <w:tblLook w:firstColumn="1" w:firstRow="1" w:lastColumn="0" w:lastRow="0" w:noHBand="0" w:noVBand="1" w:val="04A0"/>
      </w:tblPr>
      <w:tblGrid>
        <w:gridCol w:w="4680"/>
        <w:gridCol w:w="4680"/>
      </w:tblGrid>
      <w:tr>
        <w:tc>
          <w:tcPr>
            <w:tcW w:type="dxa" w:w="4680"/>
            <w:vAlign w:val="center"/>
          </w:tcPr>
          <w:p>
            <w:r>
              <w:rPr>
                <w:b/>
              </w:rPr>
              <w:t>Metric</w:t>
            </w:r>
          </w:p>
        </w:tc>
        <w:tc>
          <w:tcPr>
            <w:tcW w:type="dxa" w:w="4680"/>
            <w:vAlign w:val="center"/>
          </w:tcPr>
          <w:p>
            <w:r>
              <w:rPr>
                <w:b/>
              </w:rPr>
              <w:t>Suggested definition</w:t>
            </w:r>
          </w:p>
        </w:tc>
      </w:tr>
      <w:tr>
        <w:tc>
          <w:tcPr>
            <w:tcW w:type="dxa" w:w="4680"/>
            <w:vAlign w:val="top"/>
          </w:tcPr>
          <w:p>
            <w:r>
              <w:t>SLA compliance</w:t>
            </w:r>
          </w:p>
        </w:tc>
        <w:tc>
          <w:tcPr>
            <w:tcW w:type="dxa" w:w="4680"/>
            <w:vAlign w:val="top"/>
          </w:tcPr>
          <w:p>
            <w:r>
              <w:t>Findings remediated by due date ÷ findings due in period</w:t>
            </w:r>
          </w:p>
        </w:tc>
      </w:tr>
      <w:tr>
        <w:tc>
          <w:tcPr>
            <w:tcW w:type="dxa" w:w="4680"/>
            <w:vAlign w:val="top"/>
          </w:tcPr>
          <w:p>
            <w:r>
              <w:t>Open exposure</w:t>
            </w:r>
          </w:p>
        </w:tc>
        <w:tc>
          <w:tcPr>
            <w:tcW w:type="dxa" w:w="4680"/>
            <w:vAlign w:val="top"/>
          </w:tcPr>
          <w:p>
            <w:r>
              <w:t>Open findings by priority, business service, and age band</w:t>
            </w:r>
          </w:p>
        </w:tc>
      </w:tr>
      <w:tr>
        <w:tc>
          <w:tcPr>
            <w:tcW w:type="dxa" w:w="4680"/>
            <w:vAlign w:val="top"/>
          </w:tcPr>
          <w:p>
            <w:r>
              <w:t>Mean/median time to remediate</w:t>
            </w:r>
          </w:p>
        </w:tc>
        <w:tc>
          <w:tcPr>
            <w:tcW w:type="dxa" w:w="4680"/>
            <w:vAlign w:val="top"/>
          </w:tcPr>
          <w:p>
            <w:r>
              <w:t>Days from validation to verified closure, by priority</w:t>
            </w:r>
          </w:p>
        </w:tc>
      </w:tr>
      <w:tr>
        <w:tc>
          <w:tcPr>
            <w:tcW w:type="dxa" w:w="4680"/>
            <w:vAlign w:val="top"/>
          </w:tcPr>
          <w:p>
            <w:r>
              <w:t>Overdue risk</w:t>
            </w:r>
          </w:p>
        </w:tc>
        <w:tc>
          <w:tcPr>
            <w:tcW w:type="dxa" w:w="4680"/>
            <w:vAlign w:val="top"/>
          </w:tcPr>
          <w:p>
            <w:r>
              <w:t>Count and age of overdue findings, highlighting Critical/High</w:t>
            </w:r>
          </w:p>
        </w:tc>
      </w:tr>
      <w:tr>
        <w:tc>
          <w:tcPr>
            <w:tcW w:type="dxa" w:w="4680"/>
            <w:vAlign w:val="top"/>
          </w:tcPr>
          <w:p>
            <w:r>
              <w:t>Exception load</w:t>
            </w:r>
          </w:p>
        </w:tc>
        <w:tc>
          <w:tcPr>
            <w:tcW w:type="dxa" w:w="4680"/>
            <w:vAlign w:val="top"/>
          </w:tcPr>
          <w:p>
            <w:r>
              <w:t>Active exceptions by risk, owner, expiration, and repeat renewal</w:t>
            </w:r>
          </w:p>
        </w:tc>
      </w:tr>
      <w:tr>
        <w:tc>
          <w:tcPr>
            <w:tcW w:type="dxa" w:w="4680"/>
            <w:vAlign w:val="top"/>
          </w:tcPr>
          <w:p>
            <w:r>
              <w:t>Recurrence rate</w:t>
            </w:r>
          </w:p>
        </w:tc>
        <w:tc>
          <w:tcPr>
            <w:tcW w:type="dxa" w:w="4680"/>
            <w:vAlign w:val="top"/>
          </w:tcPr>
          <w:p>
            <w:r>
              <w:t>Reopened or repeated findings attributable to the same root cause</w:t>
            </w:r>
          </w:p>
        </w:tc>
      </w:tr>
      <w:tr>
        <w:tc>
          <w:tcPr>
            <w:tcW w:type="dxa" w:w="4680"/>
          </w:tcPr>
          <w:p>
            <w:r>
              <w:t>Accelerated remediation</w:t>
            </w:r>
          </w:p>
        </w:tc>
        <w:tc>
          <w:tcPr>
            <w:tcW w:type="dxa" w:w="4680"/>
          </w:tcPr>
          <w:p>
            <w:r>
              <w:t>Findings shortened from standard SLA due to active exploitation, exploit automation, threat intelligence, or AI-assisted attack indicators</w:t>
            </w:r>
          </w:p>
        </w:tc>
      </w:tr>
    </w:tbl>
    <w:p/>
    <w:p>
      <w:r>
        <w:t>Report trends, concentrations, material exceptions, and decisions needed—not only raw counts. Avoid using scan volume as a substitute for risk reduction.</w:t>
      </w:r>
    </w:p>
    <w:p>
      <w:pPr>
        <w:pStyle w:val="Heading1"/>
      </w:pPr>
      <w:r>
        <w:t>12. Governance, evidence, and review</w:t>
      </w:r>
    </w:p>
    <w:p>
      <w:pPr>
        <w:pStyle w:val="ListBullet"/>
      </w:pPr>
      <w:r>
        <w:t>Review this standard at least annually and after a material incident, technology change, regulatory change, or meaningful change in exploit automation or AI-assisted attack capability.</w:t>
      </w:r>
    </w:p>
    <w:p>
      <w:pPr>
        <w:pStyle w:val="ListBullet"/>
      </w:pPr>
      <w:r>
        <w:t>Review Critical and High exceptions at least monthly; review other active exceptions at least quarterly.</w:t>
      </w:r>
    </w:p>
    <w:p>
      <w:pPr>
        <w:pStyle w:val="ListBullet"/>
      </w:pPr>
      <w:r>
        <w:t>Retain findings, decisions, approvals, test results, and supporting change records according to the organization’s evidence-retention schedule.</w:t>
      </w:r>
    </w:p>
    <w:p>
      <w:pPr>
        <w:pStyle w:val="ListBullet"/>
      </w:pPr>
      <w:r>
        <w:t>Restrict vulnerability details to personnel with a business need; protect reports as sensitive security information.</w:t>
      </w:r>
    </w:p>
    <w:p>
      <w:pPr>
        <w:pStyle w:val="Heading1"/>
      </w:pPr>
      <w:r>
        <w:t>13. Framework alignment</w:t>
      </w:r>
    </w:p>
    <w:tbl>
      <w:tblPr>
        <w:tblStyle w:val="TableGrid"/>
        <w:tblW w:type="auto" w:w="0"/>
        <w:jc w:val="center"/>
        <w:tblLook w:firstColumn="1" w:firstRow="1" w:lastColumn="0" w:lastRow="0" w:noHBand="0" w:noVBand="1" w:val="04A0"/>
      </w:tblPr>
      <w:tblGrid>
        <w:gridCol w:w="4680"/>
        <w:gridCol w:w="4680"/>
      </w:tblGrid>
      <w:tr>
        <w:tc>
          <w:tcPr>
            <w:tcW w:type="dxa" w:w="4680"/>
            <w:vAlign w:val="center"/>
          </w:tcPr>
          <w:p>
            <w:r>
              <w:rPr>
                <w:b/>
              </w:rPr>
              <w:t>Framework</w:t>
            </w:r>
          </w:p>
        </w:tc>
        <w:tc>
          <w:tcPr>
            <w:tcW w:type="dxa" w:w="4680"/>
            <w:vAlign w:val="center"/>
          </w:tcPr>
          <w:p>
            <w:r>
              <w:rPr>
                <w:b/>
              </w:rPr>
              <w:t>Relevant alignment</w:t>
            </w:r>
          </w:p>
        </w:tc>
      </w:tr>
      <w:tr>
        <w:tc>
          <w:tcPr>
            <w:tcW w:type="dxa" w:w="4680"/>
            <w:vAlign w:val="top"/>
          </w:tcPr>
          <w:p>
            <w:r>
              <w:t>NIST Cybersecurity Framework 2.0</w:t>
            </w:r>
          </w:p>
        </w:tc>
        <w:tc>
          <w:tcPr>
            <w:tcW w:type="dxa" w:w="4680"/>
            <w:vAlign w:val="top"/>
          </w:tcPr>
          <w:p>
            <w:r>
              <w:t>ID.RA (risk assessment), PR.PS (platform security), DE.CM (continuous monitoring), RS.MA (incident management), GV.OV (oversight).</w:t>
            </w:r>
          </w:p>
        </w:tc>
      </w:tr>
      <w:tr>
        <w:tc>
          <w:tcPr>
            <w:tcW w:type="dxa" w:w="4680"/>
            <w:vAlign w:val="top"/>
          </w:tcPr>
          <w:p>
            <w:r>
              <w:t>NIST SP 800-53 Rev. 5</w:t>
            </w:r>
          </w:p>
        </w:tc>
        <w:tc>
          <w:tcPr>
            <w:tcW w:type="dxa" w:w="4680"/>
            <w:vAlign w:val="top"/>
          </w:tcPr>
          <w:p>
            <w:r>
              <w:t>RA-5 Vulnerability Monitoring and Scanning; SI-2 Flaw Remediation; CA-5 Plan of Action and Milestones; CA-7 Continuous Monitoring.</w:t>
            </w:r>
          </w:p>
        </w:tc>
      </w:tr>
      <w:tr>
        <w:tc>
          <w:tcPr>
            <w:tcW w:type="dxa" w:w="4680"/>
            <w:vAlign w:val="top"/>
          </w:tcPr>
          <w:p>
            <w:r>
              <w:t>CIS Controls v8</w:t>
            </w:r>
          </w:p>
        </w:tc>
        <w:tc>
          <w:tcPr>
            <w:tcW w:type="dxa" w:w="4680"/>
            <w:vAlign w:val="top"/>
          </w:tcPr>
          <w:p>
            <w:r>
              <w:t>Control 7 Continuous Vulnerability Management, supported by asset and software inventory controls.</w:t>
            </w:r>
          </w:p>
        </w:tc>
      </w:tr>
      <w:tr>
        <w:tc>
          <w:tcPr>
            <w:tcW w:type="dxa" w:w="4680"/>
            <w:vAlign w:val="top"/>
          </w:tcPr>
          <w:p>
            <w:r>
              <w:t>PCI DSS v4.0.1</w:t>
            </w:r>
          </w:p>
        </w:tc>
        <w:tc>
          <w:tcPr>
            <w:tcW w:type="dxa" w:w="4680"/>
            <w:vAlign w:val="top"/>
          </w:tcPr>
          <w:p>
            <w:r>
              <w:t>Requirements 6 and 11 where payment-card environments are in scope; use applicable PCI timelines rather than this template when stricter.</w:t>
            </w:r>
          </w:p>
        </w:tc>
      </w:tr>
    </w:tbl>
    <w:p/>
    <w:p>
      <w:r>
        <w:t>Alignment is informational and does not establish compliance. Organizations should map requirements to their scope, contracts, and regulator expectations.</w:t>
      </w:r>
    </w:p>
    <w:p>
      <w:pPr>
        <w:pStyle w:val="Heading1"/>
      </w:pPr>
      <w:r>
        <w:t>Appendix A — Quick-start implementation plan</w:t>
      </w:r>
    </w:p>
    <w:tbl>
      <w:tblPr>
        <w:tblStyle w:val="TableGrid"/>
        <w:tblW w:type="auto" w:w="0"/>
        <w:jc w:val="center"/>
        <w:tblLook w:firstColumn="1" w:firstRow="1" w:lastColumn="0" w:lastRow="0" w:noHBand="0" w:noVBand="1" w:val="04A0"/>
      </w:tblPr>
      <w:tblGrid>
        <w:gridCol w:w="3120"/>
        <w:gridCol w:w="3120"/>
        <w:gridCol w:w="3120"/>
      </w:tblGrid>
      <w:tr>
        <w:tc>
          <w:tcPr>
            <w:tcW w:type="dxa" w:w="3120"/>
            <w:vAlign w:val="center"/>
          </w:tcPr>
          <w:p>
            <w:r>
              <w:rPr>
                <w:b/>
              </w:rPr>
              <w:t>Week</w:t>
            </w:r>
          </w:p>
        </w:tc>
        <w:tc>
          <w:tcPr>
            <w:tcW w:type="dxa" w:w="3120"/>
            <w:vAlign w:val="center"/>
          </w:tcPr>
          <w:p>
            <w:r>
              <w:rPr>
                <w:b/>
              </w:rPr>
              <w:t>Action</w:t>
            </w:r>
          </w:p>
        </w:tc>
        <w:tc>
          <w:tcPr>
            <w:tcW w:type="dxa" w:w="3120"/>
            <w:vAlign w:val="center"/>
          </w:tcPr>
          <w:p>
            <w:r>
              <w:rPr>
                <w:b/>
              </w:rPr>
              <w:t>Output</w:t>
            </w:r>
          </w:p>
        </w:tc>
      </w:tr>
      <w:tr>
        <w:tc>
          <w:tcPr>
            <w:tcW w:type="dxa" w:w="3120"/>
            <w:vAlign w:val="top"/>
          </w:tcPr>
          <w:p>
            <w:r>
              <w:t>1</w:t>
            </w:r>
          </w:p>
        </w:tc>
        <w:tc>
          <w:tcPr>
            <w:tcW w:type="dxa" w:w="3120"/>
            <w:vAlign w:val="top"/>
          </w:tcPr>
          <w:p>
            <w:r>
              <w:t>Approve severity model, SLA targets, exception authority, and escalation contacts.</w:t>
            </w:r>
          </w:p>
        </w:tc>
        <w:tc>
          <w:tcPr>
            <w:tcW w:type="dxa" w:w="3120"/>
            <w:vAlign w:val="top"/>
          </w:tcPr>
          <w:p>
            <w:r>
              <w:t>Approved standard and RACI</w:t>
            </w:r>
          </w:p>
        </w:tc>
      </w:tr>
      <w:tr>
        <w:tc>
          <w:tcPr>
            <w:tcW w:type="dxa" w:w="3120"/>
            <w:vAlign w:val="top"/>
          </w:tcPr>
          <w:p>
            <w:r>
              <w:t>2</w:t>
            </w:r>
          </w:p>
        </w:tc>
        <w:tc>
          <w:tcPr>
            <w:tcW w:type="dxa" w:w="3120"/>
            <w:vAlign w:val="top"/>
          </w:tcPr>
          <w:p>
            <w:r>
              <w:t>Connect scanners and testing sources to the tracker; reconcile asset owners.</w:t>
            </w:r>
          </w:p>
        </w:tc>
        <w:tc>
          <w:tcPr>
            <w:tcW w:type="dxa" w:w="3120"/>
            <w:vAlign w:val="top"/>
          </w:tcPr>
          <w:p>
            <w:r>
              <w:t>Complete intake and ownership fields</w:t>
            </w:r>
          </w:p>
        </w:tc>
      </w:tr>
      <w:tr>
        <w:tc>
          <w:tcPr>
            <w:tcW w:type="dxa" w:w="3120"/>
            <w:vAlign w:val="top"/>
          </w:tcPr>
          <w:p>
            <w:r>
              <w:t>3</w:t>
            </w:r>
          </w:p>
        </w:tc>
        <w:tc>
          <w:tcPr>
            <w:tcW w:type="dxa" w:w="3120"/>
            <w:vAlign w:val="top"/>
          </w:tcPr>
          <w:p>
            <w:r>
              <w:t>Pilot on one critical service; test validation, assignment, verification, and escalation.</w:t>
            </w:r>
          </w:p>
        </w:tc>
        <w:tc>
          <w:tcPr>
            <w:tcW w:type="dxa" w:w="3120"/>
            <w:vAlign w:val="top"/>
          </w:tcPr>
          <w:p>
            <w:r>
              <w:t>Pilot results and corrected workflow</w:t>
            </w:r>
          </w:p>
        </w:tc>
      </w:tr>
      <w:tr>
        <w:tc>
          <w:tcPr>
            <w:tcW w:type="dxa" w:w="3120"/>
            <w:vAlign w:val="top"/>
          </w:tcPr>
          <w:p>
            <w:r>
              <w:t>4</w:t>
            </w:r>
          </w:p>
        </w:tc>
        <w:tc>
          <w:tcPr>
            <w:tcW w:type="dxa" w:w="3120"/>
            <w:vAlign w:val="top"/>
          </w:tcPr>
          <w:p>
            <w:r>
              <w:t>Launch reporting; review overdue findings and active exceptions with leadership.</w:t>
            </w:r>
          </w:p>
        </w:tc>
        <w:tc>
          <w:tcPr>
            <w:tcW w:type="dxa" w:w="3120"/>
            <w:vAlign w:val="top"/>
          </w:tcPr>
          <w:p>
            <w:r>
              <w:t>Baseline dashboard and action log</w:t>
            </w:r>
          </w:p>
        </w:tc>
      </w:tr>
    </w:tbl>
    <w:p/>
    <w:p>
      <w:pPr>
        <w:pStyle w:val="Heading1"/>
      </w:pPr>
      <w:r>
        <w:t>Appendix B — Status definitions</w:t>
      </w:r>
    </w:p>
    <w:tbl>
      <w:tblPr>
        <w:tblStyle w:val="TableGrid"/>
        <w:tblW w:type="auto" w:w="0"/>
        <w:jc w:val="center"/>
        <w:tblLook w:firstColumn="1" w:firstRow="1" w:lastColumn="0" w:lastRow="0" w:noHBand="0" w:noVBand="1" w:val="04A0"/>
      </w:tblPr>
      <w:tblGrid>
        <w:gridCol w:w="4680"/>
        <w:gridCol w:w="4680"/>
      </w:tblGrid>
      <w:tr>
        <w:tc>
          <w:tcPr>
            <w:tcW w:type="dxa" w:w="4680"/>
            <w:vAlign w:val="center"/>
          </w:tcPr>
          <w:p>
            <w:r>
              <w:rPr>
                <w:b/>
              </w:rPr>
              <w:t>Status</w:t>
            </w:r>
          </w:p>
        </w:tc>
        <w:tc>
          <w:tcPr>
            <w:tcW w:type="dxa" w:w="4680"/>
            <w:vAlign w:val="center"/>
          </w:tcPr>
          <w:p>
            <w:r>
              <w:rPr>
                <w:b/>
              </w:rPr>
              <w:t>Definition</w:t>
            </w:r>
          </w:p>
        </w:tc>
      </w:tr>
      <w:tr>
        <w:tc>
          <w:tcPr>
            <w:tcW w:type="dxa" w:w="4680"/>
            <w:vAlign w:val="top"/>
          </w:tcPr>
          <w:p>
            <w:r>
              <w:t>New</w:t>
            </w:r>
          </w:p>
        </w:tc>
        <w:tc>
          <w:tcPr>
            <w:tcW w:type="dxa" w:w="4680"/>
            <w:vAlign w:val="top"/>
          </w:tcPr>
          <w:p>
            <w:r>
              <w:t>Ingested but not yet validated.</w:t>
            </w:r>
          </w:p>
        </w:tc>
      </w:tr>
      <w:tr>
        <w:tc>
          <w:tcPr>
            <w:tcW w:type="dxa" w:w="4680"/>
            <w:vAlign w:val="top"/>
          </w:tcPr>
          <w:p>
            <w:r>
              <w:t>Open</w:t>
            </w:r>
          </w:p>
        </w:tc>
        <w:tc>
          <w:tcPr>
            <w:tcW w:type="dxa" w:w="4680"/>
            <w:vAlign w:val="top"/>
          </w:tcPr>
          <w:p>
            <w:r>
              <w:t>Validated and awaiting a remediation plan.</w:t>
            </w:r>
          </w:p>
        </w:tc>
      </w:tr>
      <w:tr>
        <w:tc>
          <w:tcPr>
            <w:tcW w:type="dxa" w:w="4680"/>
            <w:vAlign w:val="top"/>
          </w:tcPr>
          <w:p>
            <w:r>
              <w:t>Planned</w:t>
            </w:r>
          </w:p>
        </w:tc>
        <w:tc>
          <w:tcPr>
            <w:tcW w:type="dxa" w:w="4680"/>
            <w:vAlign w:val="top"/>
          </w:tcPr>
          <w:p>
            <w:r>
              <w:t>Owner and dated remediation plan confirmed.</w:t>
            </w:r>
          </w:p>
        </w:tc>
      </w:tr>
      <w:tr>
        <w:tc>
          <w:tcPr>
            <w:tcW w:type="dxa" w:w="4680"/>
            <w:vAlign w:val="top"/>
          </w:tcPr>
          <w:p>
            <w:r>
              <w:t>In progress</w:t>
            </w:r>
          </w:p>
        </w:tc>
        <w:tc>
          <w:tcPr>
            <w:tcW w:type="dxa" w:w="4680"/>
            <w:vAlign w:val="top"/>
          </w:tcPr>
          <w:p>
            <w:r>
              <w:t>Remediation or containment work underway.</w:t>
            </w:r>
          </w:p>
        </w:tc>
      </w:tr>
      <w:tr>
        <w:tc>
          <w:tcPr>
            <w:tcW w:type="dxa" w:w="4680"/>
            <w:vAlign w:val="top"/>
          </w:tcPr>
          <w:p>
            <w:r>
              <w:t>Verifying</w:t>
            </w:r>
          </w:p>
        </w:tc>
        <w:tc>
          <w:tcPr>
            <w:tcW w:type="dxa" w:w="4680"/>
            <w:vAlign w:val="top"/>
          </w:tcPr>
          <w:p>
            <w:r>
              <w:t>Change implemented; independent validation pending.</w:t>
            </w:r>
          </w:p>
        </w:tc>
      </w:tr>
      <w:tr>
        <w:tc>
          <w:tcPr>
            <w:tcW w:type="dxa" w:w="4680"/>
            <w:vAlign w:val="top"/>
          </w:tcPr>
          <w:p>
            <w:r>
              <w:t>Closed</w:t>
            </w:r>
          </w:p>
        </w:tc>
        <w:tc>
          <w:tcPr>
            <w:tcW w:type="dxa" w:w="4680"/>
            <w:vAlign w:val="top"/>
          </w:tcPr>
          <w:p>
            <w:r>
              <w:t>Remediation independently verified and evidence recorded.</w:t>
            </w:r>
          </w:p>
        </w:tc>
      </w:tr>
      <w:tr>
        <w:tc>
          <w:tcPr>
            <w:tcW w:type="dxa" w:w="4680"/>
            <w:vAlign w:val="top"/>
          </w:tcPr>
          <w:p>
            <w:r>
              <w:t>Excepted</w:t>
            </w:r>
          </w:p>
        </w:tc>
        <w:tc>
          <w:tcPr>
            <w:tcW w:type="dxa" w:w="4680"/>
            <w:vAlign w:val="top"/>
          </w:tcPr>
          <w:p>
            <w:r>
              <w:t>Temporary, approved exception is active; finding remains subject to review.</w:t>
            </w:r>
          </w:p>
        </w:tc>
      </w:tr>
      <w:tr>
        <w:tc>
          <w:tcPr>
            <w:tcW w:type="dxa" w:w="4680"/>
            <w:vAlign w:val="top"/>
          </w:tcPr>
          <w:p>
            <w:r>
              <w:t>Overdue</w:t>
            </w:r>
          </w:p>
        </w:tc>
        <w:tc>
          <w:tcPr>
            <w:tcW w:type="dxa" w:w="4680"/>
            <w:vAlign w:val="top"/>
          </w:tcPr>
          <w:p>
            <w:r>
              <w:t>Due date passed without verified closure or a valid exception.</w:t>
            </w:r>
          </w:p>
        </w:tc>
      </w:tr>
    </w:tbl>
    <w:p/>
    <w:p>
      <w:pPr>
        <w:pStyle w:val="Heading1"/>
      </w:pPr>
      <w:r>
        <w:t>Document approval and change history</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872"/>
            <w:vAlign w:val="center"/>
          </w:tcPr>
          <w:p>
            <w:r>
              <w:rPr>
                <w:b/>
              </w:rPr>
              <w:t>Version</w:t>
            </w:r>
          </w:p>
        </w:tc>
        <w:tc>
          <w:tcPr>
            <w:tcW w:type="dxa" w:w="1872"/>
            <w:vAlign w:val="center"/>
          </w:tcPr>
          <w:p>
            <w:r>
              <w:rPr>
                <w:b/>
              </w:rPr>
              <w:t>Date</w:t>
            </w:r>
          </w:p>
        </w:tc>
        <w:tc>
          <w:tcPr>
            <w:tcW w:type="dxa" w:w="1872"/>
            <w:vAlign w:val="center"/>
          </w:tcPr>
          <w:p>
            <w:r>
              <w:rPr>
                <w:b/>
              </w:rPr>
              <w:t>Owner</w:t>
            </w:r>
          </w:p>
        </w:tc>
        <w:tc>
          <w:tcPr>
            <w:tcW w:type="dxa" w:w="1872"/>
            <w:vAlign w:val="center"/>
          </w:tcPr>
          <w:p>
            <w:r>
              <w:rPr>
                <w:b/>
              </w:rPr>
              <w:t>Summary</w:t>
            </w:r>
          </w:p>
        </w:tc>
        <w:tc>
          <w:tcPr>
            <w:tcW w:type="dxa" w:w="1872"/>
            <w:vAlign w:val="center"/>
          </w:tcPr>
          <w:p>
            <w:r>
              <w:rPr>
                <w:b/>
              </w:rPr>
              <w:t>Approval</w:t>
            </w:r>
          </w:p>
        </w:tc>
      </w:tr>
      <w:tr>
        <w:tc>
          <w:tcPr>
            <w:tcW w:type="dxa" w:w="1872"/>
            <w:vAlign w:val="top"/>
          </w:tcPr>
          <w:p>
            <w:r>
              <w:t>0.1</w:t>
            </w:r>
          </w:p>
        </w:tc>
        <w:tc>
          <w:tcPr>
            <w:tcW w:type="dxa" w:w="1872"/>
            <w:vAlign w:val="top"/>
          </w:tcPr>
          <w:p>
            <w:r>
              <w:t>2026-08-11</w:t>
            </w:r>
          </w:p>
        </w:tc>
        <w:tc>
          <w:tcPr>
            <w:tcW w:type="dxa" w:w="1872"/>
            <w:vAlign w:val="top"/>
          </w:tcPr>
          <w:p>
            <w:r>
              <w:t>[Owner]</w:t>
            </w:r>
          </w:p>
        </w:tc>
        <w:tc>
          <w:tcPr>
            <w:tcW w:type="dxa" w:w="1872"/>
            <w:vAlign w:val="top"/>
          </w:tcPr>
          <w:p>
            <w:r>
              <w:t>Initial draft; updated to address AI-accelerated exploitability and threat-informed SLA escalation</w:t>
            </w:r>
          </w:p>
        </w:tc>
        <w:tc>
          <w:tcPr>
            <w:tcW w:type="dxa" w:w="1872"/>
            <w:vAlign w:val="top"/>
          </w:tcPr>
          <w:p>
            <w:r>
              <w:t>[Pending]</w:t>
            </w:r>
          </w:p>
        </w:tc>
      </w:tr>
      <w:tr>
        <w:tc>
          <w:tcPr>
            <w:tcW w:type="dxa" w:w="1872"/>
            <w:vAlign w:val="top"/>
          </w:tcPr>
          <w:p>
            <w:r/>
          </w:p>
        </w:tc>
        <w:tc>
          <w:tcPr>
            <w:tcW w:type="dxa" w:w="1872"/>
            <w:vAlign w:val="top"/>
          </w:tcPr>
          <w:p>
            <w:r/>
          </w:p>
        </w:tc>
        <w:tc>
          <w:tcPr>
            <w:tcW w:type="dxa" w:w="1872"/>
            <w:vAlign w:val="top"/>
          </w:tcPr>
          <w:p>
            <w:r/>
          </w:p>
        </w:tc>
        <w:tc>
          <w:tcPr>
            <w:tcW w:type="dxa" w:w="1872"/>
            <w:vAlign w:val="top"/>
          </w:tcPr>
          <w:p>
            <w:r/>
          </w:p>
        </w:tc>
        <w:tc>
          <w:tcPr>
            <w:tcW w:type="dxa" w:w="1872"/>
            <w:vAlign w:val="top"/>
          </w:tcPr>
          <w:p>
            <w:r/>
          </w:p>
        </w:tc>
      </w:tr>
    </w:tbl>
    <w:p/>
    <w:sectPr w:rsidR="00A71822">
      <w:headerReference w:type="default" r:id="rId7"/>
      <w:footerReference w:type="default" r:id="rId8"/>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22ED2" w14:textId="77777777" w:rsidR="003B7F99" w:rsidRDefault="003B7F99" w:rsidP="00372923">
      <w:pPr>
        <w:spacing w:after="0" w:line="240" w:lineRule="auto"/>
      </w:pPr>
      <w:r>
        <w:separator/>
      </w:r>
    </w:p>
  </w:endnote>
  <w:endnote w:type="continuationSeparator" w:id="0">
    <w:p w14:paraId="156D6524" w14:textId="77777777" w:rsidR="003B7F99" w:rsidRDefault="003B7F99" w:rsidP="00372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36EB" w14:textId="77777777" w:rsidR="00372923" w:rsidRPr="00372923" w:rsidRDefault="00372923" w:rsidP="00372923">
    <w:pPr>
      <w:spacing w:after="120"/>
      <w:rPr>
        <w:b/>
        <w:bCs/>
        <w:i/>
        <w:iCs/>
      </w:rPr>
    </w:pPr>
    <w:r w:rsidRPr="00372923">
      <w:rPr>
        <w:rFonts w:ascii="Arial" w:hAnsi="Arial" w:cs="Arial"/>
        <w:b/>
        <w:bCs/>
        <w:i/>
        <w:iCs/>
        <w:color w:val="0D1B2A"/>
        <w:sz w:val="22"/>
      </w:rPr>
      <w:t>Template only: this document requires customization, validation, and approval before use.</w:t>
    </w:r>
  </w:p>
  <w:p w14:paraId="23DCCFD3" w14:textId="77777777" w:rsidR="00372923" w:rsidRDefault="00372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EB018" w14:textId="77777777" w:rsidR="003B7F99" w:rsidRDefault="003B7F99" w:rsidP="00372923">
      <w:pPr>
        <w:spacing w:after="0" w:line="240" w:lineRule="auto"/>
      </w:pPr>
      <w:r>
        <w:separator/>
      </w:r>
    </w:p>
  </w:footnote>
  <w:footnote w:type="continuationSeparator" w:id="0">
    <w:p w14:paraId="18BB6DFD" w14:textId="77777777" w:rsidR="003B7F99" w:rsidRDefault="003B7F99" w:rsidP="00372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7ED5" w14:textId="054D0429" w:rsidR="00372923" w:rsidRDefault="009214C1" w:rsidP="009214C1">
    <w:pPr>
      <w:pStyle w:val="Heading1"/>
      <w:jc w:val="right"/>
    </w:pPr>
    <w:r w:rsidRPr="009214C1">
      <w:rPr>
        <w:noProof/>
      </w:rPr>
      <w:drawing>
        <wp:anchor distT="0" distB="0" distL="114300" distR="114300" simplePos="0" relativeHeight="251658240" behindDoc="0" locked="0" layoutInCell="1" allowOverlap="1" wp14:anchorId="2753E83F" wp14:editId="26479961">
          <wp:simplePos x="0" y="0"/>
          <wp:positionH relativeFrom="margin">
            <wp:posOffset>-343535</wp:posOffset>
          </wp:positionH>
          <wp:positionV relativeFrom="margin">
            <wp:posOffset>-276755</wp:posOffset>
          </wp:positionV>
          <wp:extent cx="1834973" cy="217805"/>
          <wp:effectExtent l="0" t="0" r="0" b="0"/>
          <wp:wrapSquare wrapText="bothSides"/>
          <wp:docPr id="134183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30063" name=""/>
                  <pic:cNvPicPr/>
                </pic:nvPicPr>
                <pic:blipFill>
                  <a:blip r:embed="rId1">
                    <a:extLst>
                      <a:ext uri="{28A0092B-C50C-407E-A947-70E740481C1C}">
                        <a14:useLocalDpi xmlns:a14="http://schemas.microsoft.com/office/drawing/2010/main" val="0"/>
                      </a:ext>
                    </a:extLst>
                  </a:blip>
                  <a:stretch>
                    <a:fillRect/>
                  </a:stretch>
                </pic:blipFill>
                <pic:spPr>
                  <a:xfrm>
                    <a:off x="0" y="0"/>
                    <a:ext cx="1834973" cy="217805"/>
                  </a:xfrm>
                  <a:prstGeom prst="rect">
                    <a:avLst/>
                  </a:prstGeom>
                </pic:spPr>
              </pic:pic>
            </a:graphicData>
          </a:graphic>
        </wp:anchor>
      </w:drawing>
    </w:r>
    <w:r>
      <w:t>Sample Document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822"/>
    <w:rsid w:val="000050A2"/>
    <w:rsid w:val="0030020E"/>
    <w:rsid w:val="00372923"/>
    <w:rsid w:val="003B7F99"/>
    <w:rsid w:val="005312C0"/>
    <w:rsid w:val="006B64E8"/>
    <w:rsid w:val="00850C50"/>
    <w:rsid w:val="009214C1"/>
    <w:rsid w:val="00A71822"/>
    <w:rsid w:val="00AE40EB"/>
    <w:rsid w:val="00F8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05162"/>
  <w15:docId w15:val="{11506B26-AEFD-7343-867B-D561DF51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hAnsi="Aptos"/>
      <w:sz w:val="20"/>
    </w:rPr>
  </w:style>
  <w:style w:type="paragraph" w:styleId="Heading1">
    <w:name w:val="heading 1"/>
    <w:basedOn w:val="Normal"/>
    <w:next w:val="Normal"/>
    <w:link w:val="Heading1Char"/>
    <w:uiPriority w:val="9"/>
    <w:qFormat/>
    <w:rsid w:val="009214C1"/>
    <w:pPr>
      <w:keepNext/>
      <w:keepLines/>
      <w:spacing w:before="240" w:after="0"/>
      <w:outlineLvl w:val="0"/>
    </w:pPr>
    <w:rPr>
      <w:rFonts w:asciiTheme="majorHAnsi" w:eastAsiaTheme="majorEastAsia" w:hAnsiTheme="majorHAnsi" w:cstheme="majorBidi" w:ascii="Aptos Display" w:hAnsi="Aptos Display"/>
      <w:color w:val="17365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923"/>
  </w:style>
  <w:style w:type="paragraph" w:styleId="Footer">
    <w:name w:val="footer"/>
    <w:basedOn w:val="Normal"/>
    <w:link w:val="FooterChar"/>
    <w:uiPriority w:val="99"/>
    <w:unhideWhenUsed/>
    <w:rsid w:val="00372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923"/>
  </w:style>
  <w:style w:type="character" w:customStyle="1" w:styleId="Heading1Char">
    <w:name w:val="Heading 1 Char"/>
    <w:basedOn w:val="DefaultParagraphFont"/>
    <w:link w:val="Heading1"/>
    <w:uiPriority w:val="9"/>
    <w:rsid w:val="009214C1"/>
    <w:rPr>
      <w:rFonts w:asciiTheme="majorHAnsi" w:eastAsiaTheme="majorEastAsia" w:hAnsiTheme="majorHAnsi" w:cstheme="majorBidi"/>
      <w:color w:val="365F91" w:themeColor="accent1" w:themeShade="BF"/>
      <w:sz w:val="32"/>
      <w:szCs w:val="32"/>
    </w:rPr>
  </w:style>
  <w:style w:type="paragraph" w:customStyle="1" w:styleId="Title">
    <w:name w:val="Title"/>
    <w:basedOn w:val="Normal"/>
    <w:rPr>
      <w:rFonts w:ascii="Aptos Display" w:hAnsi="Aptos Display"/>
      <w:color w:val="17365D"/>
      <w:sz w:val="48"/>
    </w:rPr>
  </w:style>
  <w:style w:type="paragraph" w:customStyle="1" w:styleId="Heading2">
    <w:name w:val="heading 2"/>
    <w:basedOn w:val="Normal"/>
    <w:rPr>
      <w:rFonts w:ascii="Aptos Display" w:hAnsi="Aptos Display"/>
      <w:color w:val="2F5597"/>
      <w:sz w:val="24"/>
    </w:rPr>
  </w:style>
  <w:style w:type="paragraph" w:customStyle="1" w:styleId="Heading3">
    <w:name w:val="heading 3"/>
    <w:basedOn w:val="Normal"/>
    <w:rPr>
      <w:rFonts w:ascii="Aptos Display" w:hAnsi="Aptos Display"/>
      <w:color w:val="2F5597"/>
      <w:sz w:val="20"/>
    </w:rPr>
  </w:style>
  <w:style w:type="paragraph" w:customStyle="1" w:styleId="ListBullet">
    <w:name w:val="List Bullet"/>
    <w:basedOn w:val="Normal"/>
  </w:style>
  <w:style w:type="paragraph" w:customStyle="1" w:styleId="ListNumber">
    <w:name w:val="List Number"/>
    <w:basedOn w:val="Normal"/>
  </w:style>
  <w:style w:type="table" w:customStyle="1" w:styleId="TableGrid">
    <w:name w:val="Table Gri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CocoaOOXMLWriter/2685.5</generator>
</meta>
</file>

<file path=customXml/itemProps1.xml><?xml version="1.0" encoding="utf-8"?>
<ds:datastoreItem xmlns:ds="http://schemas.openxmlformats.org/officeDocument/2006/customXml" ds:itemID="{A4B1F1FC-DB82-9342-97E7-8BFBC053027C}">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2587</Characters>
  <Application>Microsoft Office Word</Application>
  <DocSecurity>0</DocSecurity>
  <Lines>42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Hill</cp:lastModifiedBy>
  <cp:revision>2</cp:revision>
  <dcterms:created xsi:type="dcterms:W3CDTF">2026-04-23T12:52:00Z</dcterms:created>
  <dcterms:modified xsi:type="dcterms:W3CDTF">2026-04-23T12:52:00Z</dcterms:modified>
</cp:coreProperties>
</file>